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3B23AA" w14:textId="77777777" w:rsidR="005E2542" w:rsidRDefault="00663898" w:rsidP="00663898">
      <w:pPr>
        <w:jc w:val="center"/>
        <w:rPr>
          <w:b/>
          <w:bCs/>
          <w:sz w:val="36"/>
          <w:szCs w:val="36"/>
        </w:rPr>
      </w:pPr>
      <w:r w:rsidRPr="00663898">
        <w:rPr>
          <w:b/>
          <w:bCs/>
          <w:sz w:val="36"/>
          <w:szCs w:val="36"/>
        </w:rPr>
        <w:t xml:space="preserve">16.3.3 </w:t>
      </w:r>
      <w:r w:rsidR="005E2542">
        <w:rPr>
          <w:b/>
          <w:bCs/>
          <w:sz w:val="36"/>
          <w:szCs w:val="36"/>
        </w:rPr>
        <w:t xml:space="preserve">Joint </w:t>
      </w:r>
      <w:r w:rsidRPr="00663898">
        <w:rPr>
          <w:b/>
          <w:bCs/>
          <w:sz w:val="36"/>
          <w:szCs w:val="36"/>
        </w:rPr>
        <w:t>Proposal</w:t>
      </w:r>
      <w:r w:rsidR="005E2542">
        <w:rPr>
          <w:b/>
          <w:bCs/>
          <w:sz w:val="36"/>
          <w:szCs w:val="36"/>
        </w:rPr>
        <w:t xml:space="preserve"> UNODC/UNDP/OECD</w:t>
      </w:r>
      <w:r w:rsidRPr="00663898">
        <w:rPr>
          <w:b/>
          <w:bCs/>
          <w:sz w:val="36"/>
          <w:szCs w:val="36"/>
        </w:rPr>
        <w:t>:</w:t>
      </w:r>
    </w:p>
    <w:p w14:paraId="0BB3C8E1" w14:textId="2B5663B0" w:rsidR="00663898" w:rsidRPr="00663898" w:rsidRDefault="00663898" w:rsidP="00663898">
      <w:pPr>
        <w:jc w:val="center"/>
        <w:rPr>
          <w:b/>
          <w:bCs/>
          <w:sz w:val="36"/>
          <w:szCs w:val="36"/>
        </w:rPr>
      </w:pPr>
      <w:r w:rsidRPr="00663898">
        <w:rPr>
          <w:b/>
          <w:bCs/>
          <w:sz w:val="36"/>
          <w:szCs w:val="36"/>
        </w:rPr>
        <w:t xml:space="preserve"> Access to Civil Justice</w:t>
      </w:r>
    </w:p>
    <w:p w14:paraId="0B2E0C53" w14:textId="77777777" w:rsidR="00663898" w:rsidRDefault="00663898">
      <w:pPr>
        <w:rPr>
          <w:b/>
          <w:bCs/>
        </w:rPr>
      </w:pPr>
    </w:p>
    <w:p w14:paraId="009B828E" w14:textId="77777777" w:rsidR="00663898" w:rsidRPr="00E612CC" w:rsidRDefault="00663898" w:rsidP="00663898">
      <w:pPr>
        <w:pStyle w:val="MGTHeader"/>
        <w:rPr>
          <w:rFonts w:ascii="Calibri" w:hAnsi="Calibri" w:cs="Calibri"/>
          <w:lang w:val="en-US"/>
        </w:rPr>
      </w:pPr>
      <w:r w:rsidRPr="00E612CC">
        <w:rPr>
          <w:rFonts w:ascii="Calibri" w:hAnsi="Calibri" w:cs="Calibri"/>
          <w:b/>
          <w:lang w:val="en-US"/>
        </w:rPr>
        <w:t>Goal 16</w:t>
      </w:r>
      <w:r w:rsidRPr="00E612CC">
        <w:rPr>
          <w:rFonts w:ascii="Calibri" w:hAnsi="Calibri" w:cs="Calibri"/>
          <w:lang w:val="en-US"/>
        </w:rPr>
        <w:t>: Promote peaceful and inclusive societies for sustainable development, provide access to justice for all and build effective, accountable and inclusive institutions at all levels</w:t>
      </w:r>
    </w:p>
    <w:p w14:paraId="68EC301D" w14:textId="77777777" w:rsidR="00663898" w:rsidRPr="00E612CC" w:rsidRDefault="00663898" w:rsidP="00663898">
      <w:pPr>
        <w:pStyle w:val="MGTHeader"/>
        <w:rPr>
          <w:rFonts w:ascii="Calibri" w:hAnsi="Calibri" w:cs="Calibri"/>
          <w:b/>
          <w:lang w:val="en-US"/>
        </w:rPr>
      </w:pPr>
    </w:p>
    <w:p w14:paraId="47FEC105" w14:textId="77777777" w:rsidR="00663898" w:rsidRPr="00E612CC" w:rsidRDefault="00663898" w:rsidP="00663898">
      <w:pPr>
        <w:pStyle w:val="MGTHeader"/>
        <w:rPr>
          <w:rFonts w:ascii="Arial" w:hAnsi="Arial" w:cs="Arial"/>
          <w:color w:val="666666"/>
          <w:sz w:val="20"/>
          <w:szCs w:val="20"/>
          <w:shd w:val="clear" w:color="auto" w:fill="FFFFFF"/>
        </w:rPr>
      </w:pPr>
      <w:r w:rsidRPr="00E612CC">
        <w:rPr>
          <w:rFonts w:ascii="Calibri" w:hAnsi="Calibri" w:cs="Calibri"/>
          <w:b/>
          <w:bCs/>
          <w:lang w:val="en-US"/>
        </w:rPr>
        <w:t>Target 16.</w:t>
      </w:r>
      <w:r>
        <w:rPr>
          <w:rFonts w:ascii="Calibri" w:hAnsi="Calibri" w:cs="Calibri"/>
          <w:b/>
          <w:bCs/>
          <w:lang w:val="en-US"/>
        </w:rPr>
        <w:t>3.</w:t>
      </w:r>
      <w:r w:rsidRPr="00E612CC">
        <w:rPr>
          <w:rFonts w:ascii="Calibri" w:hAnsi="Calibri" w:cs="Calibri"/>
          <w:b/>
          <w:bCs/>
          <w:lang w:val="en-US"/>
        </w:rPr>
        <w:t xml:space="preserve">: </w:t>
      </w:r>
      <w:r w:rsidRPr="00E612CC">
        <w:rPr>
          <w:color w:val="000000" w:themeColor="text1"/>
          <w:szCs w:val="24"/>
          <w:lang w:val="en-US"/>
        </w:rPr>
        <w:t>Promote the rule of law at the national and international levels and ensure equal access to justice for all.</w:t>
      </w:r>
    </w:p>
    <w:p w14:paraId="133FC51F" w14:textId="1ADECC9E" w:rsidR="00663898" w:rsidRDefault="00663898" w:rsidP="00663898">
      <w:pPr>
        <w:pStyle w:val="MGTHeader"/>
        <w:rPr>
          <w:rFonts w:ascii="Calibri" w:hAnsi="Calibri" w:cs="Calibri"/>
          <w:b/>
          <w:lang w:val="en-US"/>
        </w:rPr>
      </w:pPr>
    </w:p>
    <w:p w14:paraId="705C88A3" w14:textId="74BD9E8E" w:rsidR="00202E1C" w:rsidRPr="00E612CC" w:rsidRDefault="00202E1C" w:rsidP="00663898">
      <w:pPr>
        <w:pStyle w:val="MGTHeader"/>
        <w:rPr>
          <w:rFonts w:ascii="Calibri" w:hAnsi="Calibri" w:cs="Calibri"/>
          <w:b/>
          <w:lang w:val="en-US"/>
        </w:rPr>
      </w:pPr>
      <w:r w:rsidRPr="00E612CC">
        <w:rPr>
          <w:rFonts w:ascii="Calibri" w:hAnsi="Calibri" w:cs="Calibri"/>
          <w:b/>
          <w:lang w:val="en-US"/>
        </w:rPr>
        <w:t>Indicator 16.3</w:t>
      </w:r>
      <w:r>
        <w:rPr>
          <w:rFonts w:ascii="Calibri" w:hAnsi="Calibri" w:cs="Calibri"/>
          <w:b/>
          <w:lang w:val="en-US"/>
        </w:rPr>
        <w:t>.3</w:t>
      </w:r>
      <w:r w:rsidRPr="00E612CC">
        <w:rPr>
          <w:rFonts w:ascii="Calibri" w:hAnsi="Calibri" w:cs="Calibri"/>
          <w:b/>
          <w:lang w:val="en-US"/>
        </w:rPr>
        <w:t>:</w:t>
      </w:r>
      <w:r>
        <w:rPr>
          <w:rFonts w:ascii="Calibri" w:hAnsi="Calibri" w:cs="Calibri"/>
          <w:b/>
          <w:lang w:val="en-US"/>
        </w:rPr>
        <w:t xml:space="preserve"> </w:t>
      </w:r>
      <w:r w:rsidRPr="00694745">
        <w:t xml:space="preserve">Proportion of the population who have experienced a dispute in the past </w:t>
      </w:r>
      <w:r>
        <w:t>two</w:t>
      </w:r>
      <w:r w:rsidRPr="00694745">
        <w:t xml:space="preserve"> years </w:t>
      </w:r>
      <w:r>
        <w:t xml:space="preserve">and </w:t>
      </w:r>
      <w:r w:rsidRPr="00694745">
        <w:t xml:space="preserve">who accessed </w:t>
      </w:r>
      <w:r>
        <w:t>a</w:t>
      </w:r>
      <w:r w:rsidRPr="00694745">
        <w:t xml:space="preserve"> </w:t>
      </w:r>
      <w:r>
        <w:t>formal or informal</w:t>
      </w:r>
      <w:r w:rsidRPr="00694745">
        <w:t xml:space="preserve"> dispute resolution mechanism</w:t>
      </w:r>
      <w:r>
        <w:t xml:space="preserve">, </w:t>
      </w:r>
      <w:r w:rsidRPr="00694745">
        <w:t>by type of mechanism.</w:t>
      </w:r>
    </w:p>
    <w:p w14:paraId="35ECABA7" w14:textId="77777777" w:rsidR="00D15093" w:rsidRDefault="00D15093" w:rsidP="00B26A55">
      <w:pPr>
        <w:pStyle w:val="MHeader"/>
        <w:spacing w:before="120"/>
        <w:rPr>
          <w:rFonts w:ascii="Calibri" w:hAnsi="Calibri" w:cs="Calibri"/>
          <w:lang w:val="en-US"/>
        </w:rPr>
      </w:pPr>
    </w:p>
    <w:p w14:paraId="661F8403" w14:textId="43DCE03A" w:rsidR="00B26A55" w:rsidRPr="00C40089" w:rsidRDefault="00B26A55" w:rsidP="00B26A55">
      <w:pPr>
        <w:pStyle w:val="MHeader"/>
        <w:spacing w:before="120"/>
        <w:rPr>
          <w:rFonts w:ascii="Calibri" w:hAnsi="Calibri" w:cs="Calibri"/>
          <w:lang w:val="en-US"/>
        </w:rPr>
      </w:pPr>
      <w:r w:rsidRPr="00C40089">
        <w:rPr>
          <w:rFonts w:ascii="Calibri" w:hAnsi="Calibri" w:cs="Calibri"/>
          <w:lang w:val="en-US"/>
        </w:rPr>
        <w:t>Institutional information</w:t>
      </w:r>
    </w:p>
    <w:p w14:paraId="62186412" w14:textId="77777777" w:rsidR="00B26A55" w:rsidRPr="00DF3746" w:rsidRDefault="00B26A55" w:rsidP="00B26A55">
      <w:pPr>
        <w:shd w:val="clear" w:color="auto" w:fill="FFFFFF" w:themeFill="background1"/>
        <w:rPr>
          <w:rFonts w:ascii="Calibri" w:hAnsi="Calibri" w:cs="Calibri"/>
          <w:b/>
          <w:bCs/>
          <w:color w:val="4A4A4A"/>
          <w:sz w:val="21"/>
          <w:szCs w:val="21"/>
          <w:lang w:eastAsia="en-GB"/>
        </w:rPr>
      </w:pPr>
    </w:p>
    <w:p w14:paraId="5CC3DF7A" w14:textId="19D42A8E" w:rsidR="00B26A55" w:rsidRPr="002E2DF9" w:rsidRDefault="00B26A55" w:rsidP="00B26A55">
      <w:pPr>
        <w:pStyle w:val="MSubHeader"/>
        <w:spacing w:after="200"/>
        <w:rPr>
          <w:rFonts w:ascii="Calibri" w:hAnsi="Calibri" w:cs="Calibri"/>
          <w:sz w:val="22"/>
          <w:szCs w:val="22"/>
          <w:lang w:val="en-US"/>
        </w:rPr>
      </w:pPr>
      <w:r w:rsidRPr="002E2DF9">
        <w:rPr>
          <w:rFonts w:ascii="Calibri" w:hAnsi="Calibri" w:cs="Calibri"/>
          <w:sz w:val="22"/>
          <w:szCs w:val="22"/>
          <w:lang w:val="en-US"/>
        </w:rPr>
        <w:t>Organization(s):</w:t>
      </w:r>
    </w:p>
    <w:p w14:paraId="6A595F58" w14:textId="42879704" w:rsidR="00D44934" w:rsidRPr="002E2DF9" w:rsidRDefault="00B26A55" w:rsidP="00D44934">
      <w:pPr>
        <w:shd w:val="clear" w:color="auto" w:fill="FFFFFF" w:themeFill="background1"/>
        <w:spacing w:after="200" w:line="276" w:lineRule="auto"/>
        <w:rPr>
          <w:rFonts w:ascii="Calibri" w:hAnsi="Calibri" w:cs="Calibri"/>
          <w:b/>
          <w:bCs/>
          <w:color w:val="4A4A4A"/>
          <w:lang w:eastAsia="en-GB"/>
        </w:rPr>
      </w:pPr>
      <w:r w:rsidRPr="002E2DF9">
        <w:rPr>
          <w:rFonts w:ascii="Calibri" w:hAnsi="Calibri" w:cs="Calibri"/>
          <w:color w:val="000000" w:themeColor="text1"/>
          <w:lang w:val="en-US"/>
        </w:rPr>
        <w:t xml:space="preserve">Custodian Agencies: </w:t>
      </w:r>
      <w:r w:rsidR="008C534C" w:rsidRPr="002E2DF9">
        <w:rPr>
          <w:rFonts w:ascii="Calibri" w:hAnsi="Calibri" w:cs="Calibri"/>
          <w:color w:val="000000" w:themeColor="text1"/>
          <w:lang w:val="en-US"/>
        </w:rPr>
        <w:t xml:space="preserve">United Nations on Drugs and Crime (UNODC), </w:t>
      </w:r>
      <w:r w:rsidRPr="002E2DF9">
        <w:rPr>
          <w:rFonts w:ascii="Calibri" w:hAnsi="Calibri" w:cs="Calibri"/>
          <w:color w:val="000000" w:themeColor="text1"/>
          <w:lang w:val="en-US"/>
        </w:rPr>
        <w:t xml:space="preserve">United Nations Development </w:t>
      </w:r>
      <w:proofErr w:type="spellStart"/>
      <w:r w:rsidRPr="002E2DF9">
        <w:rPr>
          <w:rFonts w:ascii="Calibri" w:hAnsi="Calibri" w:cs="Calibri"/>
          <w:color w:val="000000" w:themeColor="text1"/>
          <w:lang w:val="en-US"/>
        </w:rPr>
        <w:t>Programme</w:t>
      </w:r>
      <w:proofErr w:type="spellEnd"/>
      <w:r w:rsidRPr="002E2DF9">
        <w:rPr>
          <w:rFonts w:ascii="Calibri" w:hAnsi="Calibri" w:cs="Calibri"/>
          <w:color w:val="000000" w:themeColor="text1"/>
          <w:lang w:val="en-US"/>
        </w:rPr>
        <w:t xml:space="preserve"> (UNDP) </w:t>
      </w:r>
      <w:r w:rsidR="00DE57B3" w:rsidRPr="002E2DF9">
        <w:rPr>
          <w:rFonts w:ascii="Calibri" w:hAnsi="Calibri" w:cs="Calibri"/>
          <w:color w:val="000000" w:themeColor="text1"/>
          <w:lang w:val="en-US"/>
        </w:rPr>
        <w:t xml:space="preserve">and </w:t>
      </w:r>
      <w:r w:rsidR="00BE3AA5" w:rsidRPr="002E2DF9">
        <w:rPr>
          <w:rFonts w:ascii="Calibri" w:hAnsi="Calibri" w:cs="Calibri"/>
          <w:color w:val="000000" w:themeColor="text1"/>
          <w:lang w:val="en-US"/>
        </w:rPr>
        <w:t>Organization for Economic Cooperation and Development (OECD)</w:t>
      </w:r>
      <w:r w:rsidR="00D44934" w:rsidRPr="002E2DF9">
        <w:rPr>
          <w:rFonts w:ascii="Calibri" w:hAnsi="Calibri" w:cs="Calibri"/>
          <w:b/>
          <w:bCs/>
          <w:color w:val="4A4A4A"/>
          <w:lang w:eastAsia="en-GB"/>
        </w:rPr>
        <w:t>Contact person(s):</w:t>
      </w:r>
    </w:p>
    <w:p w14:paraId="01ABA311" w14:textId="77777777" w:rsidR="007F629E" w:rsidRPr="002E2DF9" w:rsidRDefault="00A653A1" w:rsidP="00BE3AA5">
      <w:pPr>
        <w:pStyle w:val="MText"/>
        <w:spacing w:after="200"/>
        <w:rPr>
          <w:rFonts w:ascii="Calibri" w:hAnsi="Calibri" w:cs="Calibri"/>
          <w:color w:val="000000" w:themeColor="text1"/>
          <w:sz w:val="22"/>
          <w:szCs w:val="22"/>
          <w:lang w:val="en-US"/>
        </w:rPr>
      </w:pPr>
      <w:r w:rsidRPr="002E2DF9">
        <w:rPr>
          <w:rFonts w:ascii="Calibri" w:hAnsi="Calibri" w:cs="Calibri"/>
          <w:color w:val="000000" w:themeColor="text1"/>
          <w:sz w:val="22"/>
          <w:szCs w:val="22"/>
          <w:lang w:val="en-US"/>
        </w:rPr>
        <w:t xml:space="preserve">UNODC: </w:t>
      </w:r>
      <w:r w:rsidR="00BE3AA5" w:rsidRPr="002E2DF9">
        <w:rPr>
          <w:rFonts w:ascii="Calibri" w:hAnsi="Calibri" w:cs="Calibri"/>
          <w:color w:val="000000" w:themeColor="text1"/>
          <w:sz w:val="22"/>
          <w:szCs w:val="22"/>
          <w:lang w:val="en-US"/>
        </w:rPr>
        <w:t>Enrico Bisogno, Chief, Data Development and Dissemination Unit, UNODC</w:t>
      </w:r>
    </w:p>
    <w:p w14:paraId="309B6C76" w14:textId="77777777" w:rsidR="00663898" w:rsidRPr="002E2DF9" w:rsidRDefault="00153DA0" w:rsidP="00BE3AA5">
      <w:pPr>
        <w:pStyle w:val="MText"/>
        <w:spacing w:after="200"/>
        <w:rPr>
          <w:rFonts w:ascii="Calibri" w:hAnsi="Calibri" w:cs="Calibri"/>
          <w:color w:val="000000" w:themeColor="text1"/>
          <w:sz w:val="22"/>
          <w:szCs w:val="22"/>
          <w:lang w:val="en-US"/>
        </w:rPr>
      </w:pPr>
      <w:hyperlink r:id="rId8" w:history="1">
        <w:r w:rsidR="008C534C" w:rsidRPr="002E2DF9">
          <w:rPr>
            <w:rStyle w:val="Hyperlink"/>
            <w:rFonts w:ascii="Calibri" w:hAnsi="Calibri" w:cs="Calibri"/>
            <w:sz w:val="22"/>
            <w:szCs w:val="22"/>
            <w:lang w:val="en-US"/>
          </w:rPr>
          <w:t>enrico.bisogno@un.org</w:t>
        </w:r>
      </w:hyperlink>
      <w:r w:rsidR="00BE3AA5" w:rsidRPr="002E2DF9">
        <w:rPr>
          <w:rFonts w:ascii="Calibri" w:hAnsi="Calibri" w:cs="Calibri"/>
          <w:color w:val="000000" w:themeColor="text1"/>
          <w:sz w:val="22"/>
          <w:szCs w:val="22"/>
          <w:lang w:val="en-US"/>
        </w:rPr>
        <w:t xml:space="preserve"> </w:t>
      </w:r>
    </w:p>
    <w:p w14:paraId="559CC7EE" w14:textId="49863E1A" w:rsidR="00D01B54" w:rsidRPr="002E2DF9" w:rsidRDefault="00A653A1" w:rsidP="00BE3AA5">
      <w:pPr>
        <w:pStyle w:val="MText"/>
        <w:spacing w:after="200"/>
        <w:rPr>
          <w:rFonts w:ascii="Calibri" w:hAnsi="Calibri" w:cs="Calibri"/>
          <w:color w:val="000000" w:themeColor="text1"/>
          <w:sz w:val="22"/>
          <w:szCs w:val="22"/>
        </w:rPr>
      </w:pPr>
      <w:r w:rsidRPr="002E2DF9">
        <w:rPr>
          <w:rFonts w:ascii="Calibri" w:hAnsi="Calibri" w:cs="Calibri"/>
          <w:color w:val="000000" w:themeColor="text1"/>
          <w:sz w:val="22"/>
          <w:szCs w:val="22"/>
          <w:lang w:val="en-US"/>
        </w:rPr>
        <w:t>UNDP:</w:t>
      </w:r>
      <w:r w:rsidR="00D15093" w:rsidRPr="002E2DF9">
        <w:rPr>
          <w:rFonts w:ascii="Calibri" w:hAnsi="Calibri" w:cs="Calibri"/>
          <w:color w:val="000000" w:themeColor="text1"/>
          <w:sz w:val="22"/>
          <w:szCs w:val="22"/>
          <w:lang w:val="en-US"/>
        </w:rPr>
        <w:t xml:space="preserve"> </w:t>
      </w:r>
      <w:r w:rsidR="00D15093" w:rsidRPr="002E2DF9">
        <w:rPr>
          <w:rFonts w:ascii="Calibri" w:hAnsi="Calibri" w:cs="Calibri"/>
          <w:color w:val="000000" w:themeColor="text1"/>
          <w:sz w:val="22"/>
          <w:szCs w:val="22"/>
        </w:rPr>
        <w:t>Alexandra Wilde, Senior Research and Policy Advisor, UNDP Oslo Governance Centre</w:t>
      </w:r>
    </w:p>
    <w:p w14:paraId="009910C8" w14:textId="66B956FC" w:rsidR="00202E1C" w:rsidRPr="002E2DF9" w:rsidRDefault="00153DA0" w:rsidP="00D15093">
      <w:pPr>
        <w:shd w:val="clear" w:color="auto" w:fill="FFFFFF" w:themeFill="background1"/>
        <w:spacing w:after="200" w:line="276" w:lineRule="auto"/>
        <w:rPr>
          <w:rFonts w:ascii="Calibri" w:hAnsi="Calibri" w:cs="Calibri"/>
          <w:color w:val="000000" w:themeColor="text1"/>
          <w:lang w:eastAsia="en-GB"/>
        </w:rPr>
      </w:pPr>
      <w:hyperlink r:id="rId9" w:history="1">
        <w:r w:rsidR="00D15093" w:rsidRPr="002E2DF9">
          <w:rPr>
            <w:rStyle w:val="Hyperlink"/>
            <w:rFonts w:ascii="Calibri" w:hAnsi="Calibri" w:cs="Calibri"/>
          </w:rPr>
          <w:t>alexandra.wilde@undp.org</w:t>
        </w:r>
      </w:hyperlink>
      <w:r w:rsidR="00D15093" w:rsidRPr="002E2DF9">
        <w:rPr>
          <w:rFonts w:ascii="Calibri" w:hAnsi="Calibri" w:cs="Calibri"/>
          <w:color w:val="000000" w:themeColor="text1"/>
        </w:rPr>
        <w:t xml:space="preserve">; </w:t>
      </w:r>
      <w:hyperlink r:id="rId10" w:history="1">
        <w:r w:rsidR="00D15093" w:rsidRPr="002E2DF9">
          <w:rPr>
            <w:rStyle w:val="Hyperlink"/>
            <w:rFonts w:ascii="Calibri" w:hAnsi="Calibri" w:cs="Calibri"/>
          </w:rPr>
          <w:t>sdg16indicators@undp.org</w:t>
        </w:r>
      </w:hyperlink>
    </w:p>
    <w:p w14:paraId="32AC974B" w14:textId="42A77DEA" w:rsidR="00D15093" w:rsidRPr="002E2DF9" w:rsidRDefault="00A653A1" w:rsidP="00D15093">
      <w:pPr>
        <w:pStyle w:val="MText"/>
        <w:spacing w:after="200"/>
        <w:rPr>
          <w:rFonts w:ascii="Calibri" w:hAnsi="Calibri" w:cs="Calibri"/>
          <w:color w:val="000000" w:themeColor="text1"/>
          <w:sz w:val="22"/>
          <w:szCs w:val="22"/>
          <w:lang w:val="en-US"/>
        </w:rPr>
      </w:pPr>
      <w:r w:rsidRPr="002E2DF9">
        <w:rPr>
          <w:rFonts w:ascii="Calibri" w:hAnsi="Calibri" w:cs="Calibri"/>
          <w:color w:val="000000" w:themeColor="text1"/>
          <w:sz w:val="22"/>
          <w:szCs w:val="22"/>
          <w:lang w:val="en-US"/>
        </w:rPr>
        <w:t xml:space="preserve">OECD: </w:t>
      </w:r>
      <w:r w:rsidR="00D15093" w:rsidRPr="002E2DF9">
        <w:rPr>
          <w:sz w:val="22"/>
          <w:szCs w:val="22"/>
        </w:rPr>
        <w:t xml:space="preserve">Tatyana </w:t>
      </w:r>
      <w:proofErr w:type="spellStart"/>
      <w:r w:rsidR="00D15093" w:rsidRPr="002E2DF9">
        <w:rPr>
          <w:sz w:val="22"/>
          <w:szCs w:val="22"/>
        </w:rPr>
        <w:t>Teplova</w:t>
      </w:r>
      <w:proofErr w:type="spellEnd"/>
      <w:r w:rsidR="00D15093" w:rsidRPr="002E2DF9">
        <w:rPr>
          <w:sz w:val="22"/>
          <w:szCs w:val="22"/>
        </w:rPr>
        <w:t>, Senior Counsellor, Head of the Governance for Gender, Justice and Inclusiveness</w:t>
      </w:r>
    </w:p>
    <w:p w14:paraId="46DD4A61" w14:textId="77777777" w:rsidR="00D15093" w:rsidRPr="002E2DF9" w:rsidRDefault="00153DA0" w:rsidP="00D15093">
      <w:pPr>
        <w:shd w:val="clear" w:color="auto" w:fill="FFFFFF" w:themeFill="background1"/>
        <w:spacing w:after="200" w:line="276" w:lineRule="auto"/>
        <w:rPr>
          <w:rFonts w:ascii="Calibri" w:hAnsi="Calibri" w:cs="Calibri"/>
          <w:color w:val="000000" w:themeColor="text1"/>
          <w:lang w:eastAsia="en-GB"/>
        </w:rPr>
      </w:pPr>
      <w:hyperlink r:id="rId11" w:history="1">
        <w:r w:rsidR="00D15093" w:rsidRPr="002E2DF9">
          <w:rPr>
            <w:rStyle w:val="Hyperlink"/>
            <w:rFonts w:ascii="Calibri" w:hAnsi="Calibri" w:cs="Calibri"/>
            <w:lang w:eastAsia="en-GB"/>
          </w:rPr>
          <w:t>Tatyana.TEPLOVA@oecd.org</w:t>
        </w:r>
      </w:hyperlink>
    </w:p>
    <w:p w14:paraId="2075E196" w14:textId="77777777" w:rsidR="00D01B54" w:rsidRPr="00D15093" w:rsidRDefault="00D01B54" w:rsidP="00BE3AA5">
      <w:pPr>
        <w:pStyle w:val="MText"/>
        <w:spacing w:after="200"/>
        <w:rPr>
          <w:rFonts w:ascii="Calibri" w:hAnsi="Calibri" w:cs="Calibri"/>
          <w:color w:val="000000" w:themeColor="text1"/>
        </w:rPr>
      </w:pPr>
    </w:p>
    <w:p w14:paraId="655BF05C" w14:textId="77777777" w:rsidR="009A7787" w:rsidRPr="00962990" w:rsidRDefault="009A7787" w:rsidP="009A7787">
      <w:pPr>
        <w:pBdr>
          <w:bottom w:val="single" w:sz="12" w:space="4" w:color="DDDDDD"/>
        </w:pBdr>
        <w:shd w:val="clear" w:color="auto" w:fill="FFFFFF" w:themeFill="background1"/>
        <w:spacing w:after="200" w:line="276" w:lineRule="auto"/>
        <w:outlineLvl w:val="2"/>
        <w:rPr>
          <w:rFonts w:ascii="Calibri" w:hAnsi="Calibri" w:cs="Calibri"/>
          <w:color w:val="1C75BC"/>
          <w:sz w:val="36"/>
          <w:szCs w:val="36"/>
          <w:lang w:eastAsia="en-GB"/>
        </w:rPr>
      </w:pPr>
      <w:r w:rsidRPr="00C40089">
        <w:rPr>
          <w:rFonts w:ascii="Calibri" w:hAnsi="Calibri" w:cs="Calibri"/>
          <w:color w:val="1C75BC"/>
          <w:sz w:val="36"/>
          <w:szCs w:val="36"/>
          <w:lang w:eastAsia="en-GB"/>
        </w:rPr>
        <w:t>Concepts and definitions</w:t>
      </w:r>
    </w:p>
    <w:p w14:paraId="1320F475" w14:textId="77777777" w:rsidR="008C534C" w:rsidRPr="002E2DF9" w:rsidRDefault="008C534C" w:rsidP="008C534C">
      <w:pPr>
        <w:shd w:val="clear" w:color="auto" w:fill="FFFFFF" w:themeFill="background1"/>
        <w:spacing w:after="200" w:line="276" w:lineRule="auto"/>
        <w:rPr>
          <w:rFonts w:eastAsia="Times New Roman"/>
          <w:b/>
          <w:bCs/>
          <w:color w:val="4A4A4A"/>
          <w:lang w:val="en-US" w:eastAsia="en-GB"/>
        </w:rPr>
      </w:pPr>
      <w:r w:rsidRPr="002E2DF9">
        <w:rPr>
          <w:rFonts w:eastAsia="Times New Roman"/>
          <w:b/>
          <w:bCs/>
          <w:color w:val="4A4A4A"/>
          <w:lang w:val="en-US" w:eastAsia="en-GB"/>
        </w:rPr>
        <w:t>Definition</w:t>
      </w:r>
    </w:p>
    <w:p w14:paraId="38C39DC6" w14:textId="2DB671DF" w:rsidR="00D15093" w:rsidRPr="009B3C65" w:rsidRDefault="00A87299" w:rsidP="008C534C">
      <w:pPr>
        <w:shd w:val="clear" w:color="auto" w:fill="FFFFFF" w:themeFill="background1"/>
        <w:spacing w:after="200" w:line="276" w:lineRule="auto"/>
        <w:rPr>
          <w:rFonts w:eastAsia="Times New Roman"/>
          <w:color w:val="4A4A4A"/>
          <w:lang w:eastAsia="en-GB"/>
        </w:rPr>
      </w:pPr>
      <w:r w:rsidRPr="009B3C65">
        <w:rPr>
          <w:rFonts w:eastAsia="Times New Roman"/>
          <w:color w:val="4A4A4A"/>
          <w:lang w:val="en-US" w:eastAsia="en-GB"/>
        </w:rPr>
        <w:t xml:space="preserve">Number of persons who experienced a dispute during the past </w:t>
      </w:r>
      <w:r w:rsidR="00202E1C">
        <w:rPr>
          <w:rFonts w:eastAsia="Times New Roman"/>
          <w:color w:val="4A4A4A"/>
          <w:lang w:val="en-US" w:eastAsia="en-GB"/>
        </w:rPr>
        <w:t>two</w:t>
      </w:r>
      <w:r w:rsidR="00202E1C" w:rsidRPr="009B3C65">
        <w:rPr>
          <w:rFonts w:eastAsia="Times New Roman"/>
          <w:color w:val="4A4A4A"/>
          <w:lang w:val="en-US" w:eastAsia="en-GB"/>
        </w:rPr>
        <w:t xml:space="preserve"> </w:t>
      </w:r>
      <w:r w:rsidRPr="009B3C65">
        <w:rPr>
          <w:rFonts w:eastAsia="Times New Roman"/>
          <w:color w:val="4A4A4A"/>
          <w:lang w:val="en-US" w:eastAsia="en-GB"/>
        </w:rPr>
        <w:t xml:space="preserve">years who accessed a </w:t>
      </w:r>
      <w:r w:rsidR="00D15093" w:rsidRPr="009B3C65">
        <w:rPr>
          <w:rFonts w:eastAsia="Times New Roman"/>
          <w:color w:val="4A4A4A"/>
          <w:lang w:val="en-US" w:eastAsia="en-GB"/>
        </w:rPr>
        <w:t>formal or informal</w:t>
      </w:r>
      <w:r w:rsidRPr="009B3C65">
        <w:rPr>
          <w:rFonts w:eastAsia="Times New Roman"/>
          <w:color w:val="4A4A4A"/>
          <w:lang w:val="en-US" w:eastAsia="en-GB"/>
        </w:rPr>
        <w:t xml:space="preserve"> dispute resolution mechanism, as a percentage of all those who experienced a dispute in the past </w:t>
      </w:r>
      <w:r w:rsidR="008B101C" w:rsidRPr="009B3C65">
        <w:rPr>
          <w:rFonts w:eastAsia="Times New Roman"/>
          <w:color w:val="4A4A4A"/>
          <w:lang w:val="en-US" w:eastAsia="en-GB"/>
        </w:rPr>
        <w:t xml:space="preserve">two </w:t>
      </w:r>
      <w:r w:rsidRPr="009B3C65">
        <w:rPr>
          <w:rFonts w:eastAsia="Times New Roman"/>
          <w:color w:val="4A4A4A"/>
          <w:lang w:val="en-US" w:eastAsia="en-GB"/>
        </w:rPr>
        <w:t>years, by type of mechanism.</w:t>
      </w:r>
      <w:r w:rsidR="00D15093" w:rsidRPr="009B3C65">
        <w:rPr>
          <w:rFonts w:eastAsia="Times New Roman"/>
          <w:color w:val="4A4A4A"/>
          <w:lang w:val="en-US" w:eastAsia="en-GB"/>
        </w:rPr>
        <w:t xml:space="preserve"> </w:t>
      </w:r>
    </w:p>
    <w:p w14:paraId="5869210B" w14:textId="77777777" w:rsidR="008C534C" w:rsidRPr="002E2DF9" w:rsidRDefault="008C534C" w:rsidP="008C534C">
      <w:pPr>
        <w:shd w:val="clear" w:color="auto" w:fill="FFFFFF" w:themeFill="background1"/>
        <w:spacing w:after="200" w:line="276" w:lineRule="auto"/>
        <w:rPr>
          <w:rFonts w:eastAsia="Times New Roman"/>
          <w:b/>
          <w:bCs/>
          <w:color w:val="4A4A4A"/>
          <w:lang w:val="en-US" w:eastAsia="en-GB"/>
        </w:rPr>
      </w:pPr>
      <w:r w:rsidRPr="002E2DF9">
        <w:rPr>
          <w:rFonts w:eastAsia="Times New Roman"/>
          <w:b/>
          <w:bCs/>
          <w:color w:val="4A4A4A"/>
          <w:lang w:val="en-US" w:eastAsia="en-GB"/>
        </w:rPr>
        <w:lastRenderedPageBreak/>
        <w:t>Rationale</w:t>
      </w:r>
    </w:p>
    <w:p w14:paraId="54257DBC" w14:textId="0589C27A" w:rsidR="00362F0D" w:rsidRDefault="00362F0D" w:rsidP="00860E31">
      <w:pPr>
        <w:shd w:val="clear" w:color="auto" w:fill="FFFFFF" w:themeFill="background1"/>
        <w:spacing w:after="200" w:line="276" w:lineRule="auto"/>
        <w:jc w:val="both"/>
        <w:rPr>
          <w:rFonts w:cstheme="minorHAnsi"/>
          <w:lang w:eastAsia="en-GB"/>
        </w:rPr>
      </w:pPr>
      <w:r w:rsidRPr="0082150D">
        <w:rPr>
          <w:rFonts w:ascii="Calibri" w:hAnsi="Calibri" w:cs="Calibri"/>
          <w:lang w:eastAsia="en-GB"/>
        </w:rPr>
        <w:t xml:space="preserve">While there is no </w:t>
      </w:r>
      <w:r w:rsidR="009B6174">
        <w:rPr>
          <w:rFonts w:ascii="Calibri" w:hAnsi="Calibri" w:cs="Calibri"/>
          <w:lang w:eastAsia="en-GB"/>
        </w:rPr>
        <w:t>standard</w:t>
      </w:r>
      <w:r w:rsidRPr="0082150D">
        <w:rPr>
          <w:rFonts w:ascii="Calibri" w:hAnsi="Calibri" w:cs="Calibri"/>
          <w:lang w:eastAsia="en-GB"/>
        </w:rPr>
        <w:t xml:space="preserve"> definition of access to justice, it is broadly concerned with “the ability of people to defend and enforce their rights and obtain just resolution of justiciable problems in compliance with human rights </w:t>
      </w:r>
      <w:r w:rsidRPr="0082150D">
        <w:rPr>
          <w:rFonts w:cstheme="minorHAnsi"/>
          <w:lang w:eastAsia="en-GB"/>
        </w:rPr>
        <w:t>standards; if necessary, through impartial formal or informal institutions of justice and with appropriate legal support.”</w:t>
      </w:r>
      <w:r w:rsidRPr="0082150D">
        <w:rPr>
          <w:rFonts w:cstheme="minorHAnsi"/>
          <w:vertAlign w:val="superscript"/>
        </w:rPr>
        <w:footnoteReference w:id="1"/>
      </w:r>
      <w:r>
        <w:rPr>
          <w:rFonts w:cstheme="minorHAnsi"/>
          <w:lang w:eastAsia="en-GB"/>
        </w:rPr>
        <w:t xml:space="preserve"> </w:t>
      </w:r>
      <w:bookmarkStart w:id="0" w:name="_Hlk19037899"/>
      <w:bookmarkStart w:id="1" w:name="_GoBack"/>
      <w:r>
        <w:rPr>
          <w:rFonts w:cstheme="minorHAnsi"/>
          <w:lang w:eastAsia="en-GB"/>
        </w:rPr>
        <w:t xml:space="preserve">For citizens in need of justice, a number of conditions should be met for their rights to be </w:t>
      </w:r>
      <w:r w:rsidR="00891DC2">
        <w:rPr>
          <w:rFonts w:cstheme="minorHAnsi"/>
          <w:lang w:eastAsia="en-GB"/>
        </w:rPr>
        <w:t xml:space="preserve">recognised, such as </w:t>
      </w:r>
      <w:r>
        <w:rPr>
          <w:rFonts w:cstheme="minorHAnsi"/>
          <w:lang w:eastAsia="en-GB"/>
        </w:rPr>
        <w:t>access to adequate information, access to justice services and legal advice, and access to institutions of justice that provide fair and impartial treatment.</w:t>
      </w:r>
      <w:r w:rsidR="00891DC2">
        <w:rPr>
          <w:rFonts w:cstheme="minorHAnsi"/>
          <w:lang w:eastAsia="en-GB"/>
        </w:rPr>
        <w:t xml:space="preserve"> The rationale of this indicator is to f</w:t>
      </w:r>
      <w:r w:rsidR="00D15093">
        <w:rPr>
          <w:rFonts w:cstheme="minorHAnsi"/>
          <w:lang w:eastAsia="en-GB"/>
        </w:rPr>
        <w:t>ocus on one</w:t>
      </w:r>
      <w:r w:rsidR="00202E1C">
        <w:rPr>
          <w:rFonts w:cstheme="minorHAnsi"/>
          <w:lang w:eastAsia="en-GB"/>
        </w:rPr>
        <w:t xml:space="preserve"> </w:t>
      </w:r>
      <w:r w:rsidR="00891DC2">
        <w:rPr>
          <w:rFonts w:cstheme="minorHAnsi"/>
          <w:lang w:eastAsia="en-GB"/>
        </w:rPr>
        <w:t xml:space="preserve">step of </w:t>
      </w:r>
      <w:r w:rsidR="00202E1C">
        <w:rPr>
          <w:rFonts w:cstheme="minorHAnsi"/>
          <w:lang w:eastAsia="en-GB"/>
        </w:rPr>
        <w:t xml:space="preserve">the </w:t>
      </w:r>
      <w:r w:rsidR="00891DC2">
        <w:rPr>
          <w:rFonts w:cstheme="minorHAnsi"/>
          <w:lang w:eastAsia="en-GB"/>
        </w:rPr>
        <w:t xml:space="preserve">process and </w:t>
      </w:r>
      <w:proofErr w:type="gramStart"/>
      <w:r w:rsidR="00891DC2">
        <w:rPr>
          <w:rFonts w:cstheme="minorHAnsi"/>
          <w:lang w:eastAsia="en-GB"/>
        </w:rPr>
        <w:t>in particular on</w:t>
      </w:r>
      <w:proofErr w:type="gramEnd"/>
      <w:r w:rsidR="00891DC2">
        <w:rPr>
          <w:rFonts w:cstheme="minorHAnsi"/>
          <w:lang w:eastAsia="en-GB"/>
        </w:rPr>
        <w:t xml:space="preserve"> the accessibility of justice institutions </w:t>
      </w:r>
      <w:r w:rsidR="00AE1980">
        <w:rPr>
          <w:rFonts w:cstheme="minorHAnsi"/>
          <w:lang w:eastAsia="en-GB"/>
        </w:rPr>
        <w:t xml:space="preserve">and mechanisms </w:t>
      </w:r>
      <w:r w:rsidR="00891DC2">
        <w:rPr>
          <w:rFonts w:cstheme="minorHAnsi"/>
          <w:lang w:eastAsia="en-GB"/>
        </w:rPr>
        <w:t>(both formal and informal) by those who have experienced a justiciable problem</w:t>
      </w:r>
      <w:r w:rsidR="00960E1E">
        <w:rPr>
          <w:rFonts w:cstheme="minorHAnsi"/>
          <w:lang w:eastAsia="en-GB"/>
        </w:rPr>
        <w:t>. The</w:t>
      </w:r>
      <w:r w:rsidR="00891DC2">
        <w:rPr>
          <w:rFonts w:cstheme="minorHAnsi"/>
          <w:lang w:eastAsia="en-GB"/>
        </w:rPr>
        <w:t xml:space="preserve"> indicator can </w:t>
      </w:r>
      <w:r w:rsidR="00960E1E">
        <w:rPr>
          <w:rFonts w:cstheme="minorHAnsi"/>
          <w:lang w:eastAsia="en-GB"/>
        </w:rPr>
        <w:t xml:space="preserve">provide important information about the overall </w:t>
      </w:r>
      <w:r w:rsidR="00891DC2">
        <w:rPr>
          <w:rFonts w:cstheme="minorHAnsi"/>
          <w:lang w:eastAsia="en-GB"/>
        </w:rPr>
        <w:t>accessibility of civil justice institutions and processes</w:t>
      </w:r>
      <w:r w:rsidR="009B3C65">
        <w:rPr>
          <w:rFonts w:cstheme="minorHAnsi"/>
          <w:lang w:eastAsia="en-GB"/>
        </w:rPr>
        <w:t xml:space="preserve">, barriers, and </w:t>
      </w:r>
      <w:r w:rsidR="00960E1E">
        <w:rPr>
          <w:rFonts w:cstheme="minorHAnsi"/>
          <w:lang w:eastAsia="en-GB"/>
        </w:rPr>
        <w:t xml:space="preserve">reasons for exclusion of some people. The </w:t>
      </w:r>
      <w:r w:rsidR="00891DC2">
        <w:rPr>
          <w:rFonts w:cstheme="minorHAnsi"/>
          <w:lang w:eastAsia="en-GB"/>
        </w:rPr>
        <w:t xml:space="preserve">disaggregation by type of dispute resolution mechanism provides </w:t>
      </w:r>
      <w:r w:rsidR="00960E1E">
        <w:rPr>
          <w:rFonts w:cstheme="minorHAnsi"/>
          <w:lang w:eastAsia="en-GB"/>
        </w:rPr>
        <w:t xml:space="preserve">additional </w:t>
      </w:r>
      <w:r w:rsidR="00891DC2">
        <w:rPr>
          <w:rFonts w:cstheme="minorHAnsi"/>
          <w:lang w:eastAsia="en-GB"/>
        </w:rPr>
        <w:t xml:space="preserve">information </w:t>
      </w:r>
      <w:r w:rsidR="00960E1E">
        <w:rPr>
          <w:rFonts w:cstheme="minorHAnsi"/>
          <w:lang w:eastAsia="en-GB"/>
        </w:rPr>
        <w:t>about</w:t>
      </w:r>
      <w:r w:rsidR="00891DC2">
        <w:rPr>
          <w:rFonts w:cstheme="minorHAnsi"/>
          <w:lang w:eastAsia="en-GB"/>
        </w:rPr>
        <w:t xml:space="preserve"> the channels used by citizens in need of enforcing or defending their rights. </w:t>
      </w:r>
    </w:p>
    <w:bookmarkEnd w:id="0"/>
    <w:bookmarkEnd w:id="1"/>
    <w:p w14:paraId="73DDB4E4" w14:textId="77777777" w:rsidR="00960E1E" w:rsidRPr="00E27FBC" w:rsidRDefault="00960E1E" w:rsidP="00860E31">
      <w:pPr>
        <w:jc w:val="both"/>
        <w:rPr>
          <w:lang w:val="en-US"/>
        </w:rPr>
      </w:pPr>
      <w:r w:rsidRPr="00E27FBC">
        <w:rPr>
          <w:lang w:val="en-US"/>
        </w:rPr>
        <w:t xml:space="preserve">This indicator has several advantages: </w:t>
      </w:r>
    </w:p>
    <w:p w14:paraId="1B7189DD" w14:textId="3A778B31" w:rsidR="00960E1E" w:rsidRPr="00E27FBC" w:rsidRDefault="00960E1E" w:rsidP="00860E31">
      <w:pPr>
        <w:pStyle w:val="ListParagraph"/>
        <w:numPr>
          <w:ilvl w:val="0"/>
          <w:numId w:val="17"/>
        </w:numPr>
        <w:spacing w:after="200" w:line="276" w:lineRule="auto"/>
        <w:jc w:val="both"/>
        <w:rPr>
          <w:lang w:val="en-US"/>
        </w:rPr>
      </w:pPr>
      <w:r w:rsidRPr="00E27FBC">
        <w:rPr>
          <w:lang w:val="en-US"/>
        </w:rPr>
        <w:t xml:space="preserve">It is people-centered, as it measures the experience of </w:t>
      </w:r>
      <w:r w:rsidR="00AE1980">
        <w:rPr>
          <w:lang w:val="en-US"/>
        </w:rPr>
        <w:t>justiciable</w:t>
      </w:r>
      <w:r w:rsidRPr="00E27FBC">
        <w:rPr>
          <w:lang w:val="en-US"/>
        </w:rPr>
        <w:t xml:space="preserve"> problems from the perspective of those who face them.</w:t>
      </w:r>
    </w:p>
    <w:p w14:paraId="6DC2A0A6" w14:textId="5B5197A0" w:rsidR="00960E1E" w:rsidRPr="00E27FBC" w:rsidRDefault="00960E1E" w:rsidP="00860E31">
      <w:pPr>
        <w:pStyle w:val="ListParagraph"/>
        <w:numPr>
          <w:ilvl w:val="0"/>
          <w:numId w:val="17"/>
        </w:numPr>
        <w:spacing w:after="200" w:line="276" w:lineRule="auto"/>
        <w:jc w:val="both"/>
        <w:rPr>
          <w:lang w:val="en-US"/>
        </w:rPr>
      </w:pPr>
      <w:r w:rsidRPr="00E27FBC">
        <w:rPr>
          <w:lang w:val="en-US"/>
        </w:rPr>
        <w:t xml:space="preserve">It provides a broad assessment </w:t>
      </w:r>
      <w:r w:rsidR="00305ECB">
        <w:rPr>
          <w:lang w:val="en-US"/>
        </w:rPr>
        <w:t>of people’s</w:t>
      </w:r>
      <w:r w:rsidR="00B964E3">
        <w:rPr>
          <w:lang w:val="en-US"/>
        </w:rPr>
        <w:t xml:space="preserve"> </w:t>
      </w:r>
      <w:r w:rsidR="00AE1980">
        <w:rPr>
          <w:lang w:val="en-US"/>
        </w:rPr>
        <w:t>approach to address</w:t>
      </w:r>
      <w:r w:rsidR="00DB6862">
        <w:rPr>
          <w:lang w:val="en-US"/>
        </w:rPr>
        <w:t xml:space="preserve"> </w:t>
      </w:r>
      <w:r w:rsidRPr="00E27FBC">
        <w:rPr>
          <w:lang w:val="en-US"/>
        </w:rPr>
        <w:t>problems th</w:t>
      </w:r>
      <w:r w:rsidR="00AE1980">
        <w:rPr>
          <w:lang w:val="en-US"/>
        </w:rPr>
        <w:t>ey face, both</w:t>
      </w:r>
      <w:r w:rsidR="00DB6862">
        <w:rPr>
          <w:lang w:val="en-US"/>
        </w:rPr>
        <w:t xml:space="preserve"> </w:t>
      </w:r>
      <w:r w:rsidRPr="00E27FBC">
        <w:rPr>
          <w:lang w:val="en-US"/>
        </w:rPr>
        <w:t>inside and outside of formal institutions</w:t>
      </w:r>
      <w:r w:rsidR="00AE1980">
        <w:rPr>
          <w:lang w:val="en-US"/>
        </w:rPr>
        <w:t xml:space="preserve"> or mechanisms</w:t>
      </w:r>
      <w:r w:rsidRPr="00E27FBC">
        <w:rPr>
          <w:lang w:val="en-US"/>
        </w:rPr>
        <w:t>.</w:t>
      </w:r>
    </w:p>
    <w:p w14:paraId="5E99F770" w14:textId="159DD1FA" w:rsidR="00960E1E" w:rsidRPr="00E27FBC" w:rsidRDefault="00960E1E" w:rsidP="00860E31">
      <w:pPr>
        <w:pStyle w:val="ListParagraph"/>
        <w:numPr>
          <w:ilvl w:val="0"/>
          <w:numId w:val="17"/>
        </w:numPr>
        <w:spacing w:after="200" w:line="276" w:lineRule="auto"/>
        <w:jc w:val="both"/>
        <w:rPr>
          <w:lang w:val="en-US"/>
        </w:rPr>
      </w:pPr>
      <w:r w:rsidRPr="00E27FBC">
        <w:rPr>
          <w:lang w:val="en-US"/>
        </w:rPr>
        <w:t xml:space="preserve">It focuses on </w:t>
      </w:r>
      <w:r w:rsidR="00AE1980">
        <w:rPr>
          <w:lang w:val="en-US"/>
        </w:rPr>
        <w:t xml:space="preserve">the experience of </w:t>
      </w:r>
      <w:r w:rsidRPr="00E27FBC">
        <w:rPr>
          <w:lang w:val="en-US"/>
        </w:rPr>
        <w:t>access</w:t>
      </w:r>
      <w:r w:rsidR="00AE1980">
        <w:rPr>
          <w:lang w:val="en-US"/>
        </w:rPr>
        <w:t>ing justice mechanisms or institutions when in need</w:t>
      </w:r>
    </w:p>
    <w:p w14:paraId="53B67CB2" w14:textId="26B759ED" w:rsidR="00960E1E" w:rsidRPr="006248BD" w:rsidRDefault="00960E1E" w:rsidP="00860E31">
      <w:pPr>
        <w:pStyle w:val="ListParagraph"/>
        <w:numPr>
          <w:ilvl w:val="0"/>
          <w:numId w:val="17"/>
        </w:numPr>
        <w:spacing w:after="200" w:line="276" w:lineRule="auto"/>
        <w:jc w:val="both"/>
        <w:rPr>
          <w:lang w:val="en-US"/>
        </w:rPr>
      </w:pPr>
      <w:r w:rsidRPr="00E27FBC">
        <w:rPr>
          <w:lang w:val="en-US"/>
        </w:rPr>
        <w:t>It is easy</w:t>
      </w:r>
      <w:r w:rsidRPr="006248BD">
        <w:rPr>
          <w:lang w:val="en-US"/>
        </w:rPr>
        <w:t xml:space="preserve"> to interpret</w:t>
      </w:r>
    </w:p>
    <w:p w14:paraId="1ADA9FEB" w14:textId="095D7529" w:rsidR="00960E1E" w:rsidRDefault="00960E1E" w:rsidP="00860E31">
      <w:pPr>
        <w:pStyle w:val="ListParagraph"/>
        <w:numPr>
          <w:ilvl w:val="0"/>
          <w:numId w:val="17"/>
        </w:numPr>
        <w:spacing w:after="200" w:line="276" w:lineRule="auto"/>
        <w:jc w:val="both"/>
        <w:rPr>
          <w:lang w:val="en-US"/>
        </w:rPr>
      </w:pPr>
      <w:r w:rsidRPr="006248BD">
        <w:rPr>
          <w:lang w:val="en-US"/>
        </w:rPr>
        <w:t xml:space="preserve">It can be </w:t>
      </w:r>
      <w:r w:rsidR="00AE1980">
        <w:rPr>
          <w:lang w:val="en-US"/>
        </w:rPr>
        <w:t xml:space="preserve">produced </w:t>
      </w:r>
      <w:proofErr w:type="gramStart"/>
      <w:r w:rsidR="00AE1980">
        <w:rPr>
          <w:lang w:val="en-US"/>
        </w:rPr>
        <w:t>on the basis of</w:t>
      </w:r>
      <w:proofErr w:type="gramEnd"/>
      <w:r w:rsidR="00DB6862">
        <w:rPr>
          <w:lang w:val="en-US"/>
        </w:rPr>
        <w:t xml:space="preserve"> </w:t>
      </w:r>
      <w:r w:rsidRPr="006248BD">
        <w:rPr>
          <w:lang w:val="en-US"/>
        </w:rPr>
        <w:t xml:space="preserve">few </w:t>
      </w:r>
      <w:r w:rsidR="00AE1980">
        <w:rPr>
          <w:lang w:val="en-US"/>
        </w:rPr>
        <w:t xml:space="preserve">survey </w:t>
      </w:r>
      <w:r w:rsidRPr="006248BD">
        <w:rPr>
          <w:lang w:val="en-US"/>
        </w:rPr>
        <w:t>questions</w:t>
      </w:r>
      <w:r w:rsidR="00AE1980">
        <w:rPr>
          <w:lang w:val="en-US"/>
        </w:rPr>
        <w:t xml:space="preserve">, which </w:t>
      </w:r>
      <w:r w:rsidR="00202E1C">
        <w:rPr>
          <w:lang w:val="en-US"/>
        </w:rPr>
        <w:t>can</w:t>
      </w:r>
      <w:r w:rsidRPr="006248BD">
        <w:rPr>
          <w:lang w:val="en-US"/>
        </w:rPr>
        <w:t xml:space="preserve"> be easily incorporated into ongoing national surveys.</w:t>
      </w:r>
    </w:p>
    <w:p w14:paraId="67C29043" w14:textId="488B3AD1" w:rsidR="00B60149" w:rsidRDefault="00B60149" w:rsidP="00860E31">
      <w:pPr>
        <w:pStyle w:val="ListParagraph"/>
        <w:numPr>
          <w:ilvl w:val="0"/>
          <w:numId w:val="17"/>
        </w:numPr>
        <w:spacing w:after="200" w:line="276" w:lineRule="auto"/>
        <w:jc w:val="both"/>
        <w:rPr>
          <w:lang w:val="en-US"/>
        </w:rPr>
      </w:pPr>
      <w:r>
        <w:t>It</w:t>
      </w:r>
      <w:r w:rsidRPr="00B60149">
        <w:t xml:space="preserve"> </w:t>
      </w:r>
      <w:r w:rsidR="008B10FD">
        <w:t>is well suited to monitor</w:t>
      </w:r>
      <w:r w:rsidR="00DB6862">
        <w:t xml:space="preserve"> </w:t>
      </w:r>
      <w:r w:rsidRPr="00B60149">
        <w:t>public policies aimed at improving the functioning</w:t>
      </w:r>
      <w:r w:rsidR="00DB6862">
        <w:t xml:space="preserve"> </w:t>
      </w:r>
      <w:r w:rsidRPr="00B60149">
        <w:t xml:space="preserve">of </w:t>
      </w:r>
      <w:r>
        <w:t>formal</w:t>
      </w:r>
      <w:r w:rsidRPr="00B60149">
        <w:t xml:space="preserve"> </w:t>
      </w:r>
      <w:r>
        <w:t xml:space="preserve">or informal </w:t>
      </w:r>
      <w:r w:rsidRPr="00B60149">
        <w:t>dispute resolution mechanisms (top-down policies) and to those aimed at empowering the population (bottom-up policies).</w:t>
      </w:r>
    </w:p>
    <w:p w14:paraId="12F193D7" w14:textId="30BE8AFA" w:rsidR="008B10FD" w:rsidRPr="00524623" w:rsidRDefault="008B10FD" w:rsidP="008B10FD">
      <w:pPr>
        <w:pStyle w:val="ListParagraph"/>
        <w:numPr>
          <w:ilvl w:val="0"/>
          <w:numId w:val="17"/>
        </w:numPr>
        <w:spacing w:after="200" w:line="276" w:lineRule="auto"/>
        <w:jc w:val="both"/>
        <w:rPr>
          <w:lang w:val="en-US"/>
        </w:rPr>
      </w:pPr>
      <w:r w:rsidRPr="00E27FBC">
        <w:rPr>
          <w:lang w:val="en-US"/>
        </w:rPr>
        <w:t xml:space="preserve">It can be disaggregated by </w:t>
      </w:r>
      <w:r>
        <w:rPr>
          <w:lang w:val="en-US"/>
        </w:rPr>
        <w:t>various socio-</w:t>
      </w:r>
      <w:r w:rsidRPr="00E27FBC">
        <w:rPr>
          <w:lang w:val="en-US"/>
        </w:rPr>
        <w:t xml:space="preserve">demographic </w:t>
      </w:r>
      <w:r>
        <w:rPr>
          <w:lang w:val="en-US"/>
        </w:rPr>
        <w:t xml:space="preserve">(such as age, sex, migratory background, etc.) and geographical variables and thus be used to identify vulnerable </w:t>
      </w:r>
      <w:r w:rsidRPr="00E27FBC">
        <w:rPr>
          <w:lang w:val="en-US"/>
        </w:rPr>
        <w:t>groups</w:t>
      </w:r>
      <w:r>
        <w:rPr>
          <w:lang w:val="en-US"/>
        </w:rPr>
        <w:t>/areas.</w:t>
      </w:r>
    </w:p>
    <w:p w14:paraId="53EB6D5D" w14:textId="4C270941" w:rsidR="00960E1E" w:rsidRPr="00960E1E" w:rsidRDefault="00960E1E" w:rsidP="00860E31">
      <w:pPr>
        <w:pStyle w:val="ListParagraph"/>
        <w:numPr>
          <w:ilvl w:val="0"/>
          <w:numId w:val="17"/>
        </w:numPr>
        <w:spacing w:after="200" w:line="276" w:lineRule="auto"/>
        <w:rPr>
          <w:lang w:val="en-US"/>
        </w:rPr>
      </w:pPr>
      <w:r w:rsidRPr="00960E1E">
        <w:rPr>
          <w:lang w:val="en-US"/>
        </w:rPr>
        <w:t xml:space="preserve">It draws on methodological guidelines derived from a comprehensive review of more than 60 national surveys conducted by governments and civil society organizations in more than 30 jurisdictions in the last 25 years. </w:t>
      </w:r>
    </w:p>
    <w:p w14:paraId="3D556DDD" w14:textId="77777777" w:rsidR="008C534C" w:rsidRPr="002E2DF9" w:rsidRDefault="008C534C" w:rsidP="008C534C">
      <w:pPr>
        <w:shd w:val="clear" w:color="auto" w:fill="FFFFFF" w:themeFill="background1"/>
        <w:spacing w:after="200" w:line="276" w:lineRule="auto"/>
        <w:rPr>
          <w:rFonts w:eastAsia="Times New Roman"/>
          <w:b/>
          <w:bCs/>
          <w:color w:val="4A4A4A"/>
          <w:lang w:val="en-US" w:eastAsia="en-GB"/>
        </w:rPr>
      </w:pPr>
      <w:r w:rsidRPr="002E2DF9">
        <w:rPr>
          <w:rFonts w:eastAsia="Times New Roman"/>
          <w:b/>
          <w:bCs/>
          <w:color w:val="4A4A4A"/>
          <w:lang w:val="en-US" w:eastAsia="en-GB"/>
        </w:rPr>
        <w:t>Concepts</w:t>
      </w:r>
    </w:p>
    <w:p w14:paraId="11648597" w14:textId="24470AFC" w:rsidR="00FB1E55" w:rsidRDefault="00D75881" w:rsidP="00FB1E55">
      <w:pPr>
        <w:spacing w:after="200" w:line="276" w:lineRule="auto"/>
        <w:rPr>
          <w:rFonts w:ascii="Calibri" w:hAnsi="Calibri" w:cs="Calibri"/>
          <w:sz w:val="21"/>
          <w:szCs w:val="21"/>
          <w:lang w:val="en-US" w:eastAsia="en-GB"/>
        </w:rPr>
      </w:pPr>
      <w:r w:rsidRPr="009B3C65">
        <w:t xml:space="preserve">A </w:t>
      </w:r>
      <w:r w:rsidRPr="009B3C65">
        <w:rPr>
          <w:u w:val="single"/>
        </w:rPr>
        <w:t>dispute</w:t>
      </w:r>
      <w:r w:rsidRPr="009B3C65">
        <w:t xml:space="preserve"> can be understood as a </w:t>
      </w:r>
      <w:r w:rsidRPr="009B3C65">
        <w:rPr>
          <w:u w:val="single"/>
        </w:rPr>
        <w:t>justiciable problem</w:t>
      </w:r>
      <w:r w:rsidRPr="009B3C65">
        <w:t xml:space="preserve"> between individuals or between individual(s) and an entity. </w:t>
      </w:r>
      <w:r w:rsidR="00FB1E55" w:rsidRPr="009B3C65">
        <w:rPr>
          <w:rFonts w:ascii="Calibri" w:hAnsi="Calibri" w:cs="Calibri"/>
          <w:lang w:eastAsia="en-GB"/>
        </w:rPr>
        <w:t xml:space="preserve">Justiciable problems </w:t>
      </w:r>
      <w:proofErr w:type="gramStart"/>
      <w:r w:rsidR="00FB1E55" w:rsidRPr="009B3C65">
        <w:rPr>
          <w:rFonts w:ascii="Calibri" w:hAnsi="Calibri" w:cs="Calibri"/>
          <w:lang w:eastAsia="en-GB"/>
        </w:rPr>
        <w:t>can be seen as</w:t>
      </w:r>
      <w:proofErr w:type="gramEnd"/>
      <w:r w:rsidR="00FB1E55" w:rsidRPr="009B3C65">
        <w:rPr>
          <w:rFonts w:ascii="Calibri" w:hAnsi="Calibri" w:cs="Calibri"/>
          <w:lang w:eastAsia="en-GB"/>
        </w:rPr>
        <w:t xml:space="preserve"> the ones giving rise to legal issues</w:t>
      </w:r>
      <w:r w:rsidR="00FB1E55" w:rsidRPr="009B3C65">
        <w:rPr>
          <w:rFonts w:ascii="Calibri" w:hAnsi="Calibri" w:cs="Calibri"/>
          <w:lang w:val="en-US" w:eastAsia="en-GB"/>
        </w:rPr>
        <w:t>, whether or not the problems are perceived as being “legal” by those who face them, and whether or not any legal action was taken as a result of the problem</w:t>
      </w:r>
      <w:r w:rsidR="00FB1E55" w:rsidRPr="00FB1E55">
        <w:rPr>
          <w:rFonts w:ascii="Calibri" w:hAnsi="Calibri" w:cs="Calibri"/>
          <w:sz w:val="21"/>
          <w:szCs w:val="21"/>
          <w:lang w:val="en-US" w:eastAsia="en-GB"/>
        </w:rPr>
        <w:t>.</w:t>
      </w:r>
      <w:r w:rsidR="00FB1E55" w:rsidRPr="00FB1E55">
        <w:rPr>
          <w:vertAlign w:val="superscript"/>
          <w:lang w:eastAsia="en-GB"/>
        </w:rPr>
        <w:footnoteReference w:id="2"/>
      </w:r>
    </w:p>
    <w:p w14:paraId="58659E36" w14:textId="45A27460" w:rsidR="00D75881" w:rsidRPr="0082150D" w:rsidRDefault="00D75881" w:rsidP="00D75881">
      <w:pPr>
        <w:shd w:val="clear" w:color="auto" w:fill="FFFFFF" w:themeFill="background1"/>
        <w:spacing w:after="200" w:line="276" w:lineRule="auto"/>
        <w:jc w:val="both"/>
      </w:pPr>
      <w:r w:rsidRPr="005454AB">
        <w:lastRenderedPageBreak/>
        <w:t>Categories of disputes can vary between countries depending on soci</w:t>
      </w:r>
      <w:r w:rsidR="00FB1E55" w:rsidRPr="005454AB">
        <w:t xml:space="preserve">al, </w:t>
      </w:r>
      <w:r w:rsidRPr="005454AB">
        <w:t>economic</w:t>
      </w:r>
      <w:r w:rsidR="00FB1E55" w:rsidRPr="005454AB">
        <w:t>, political, legal, institutional</w:t>
      </w:r>
      <w:r w:rsidRPr="005454AB">
        <w:t xml:space="preserve"> and cultural factors. There are, however, </w:t>
      </w:r>
      <w:proofErr w:type="gramStart"/>
      <w:r w:rsidRPr="005454AB">
        <w:t>a number of</w:t>
      </w:r>
      <w:proofErr w:type="gramEnd"/>
      <w:r w:rsidRPr="005454AB">
        <w:t xml:space="preserve"> categories that have broad applicability across countries</w:t>
      </w:r>
      <w:r w:rsidR="00FB1E55" w:rsidRPr="005454AB">
        <w:t>, such as</w:t>
      </w:r>
      <w:r w:rsidR="00E73DF6" w:rsidRPr="005454AB">
        <w:t xml:space="preserve"> </w:t>
      </w:r>
      <w:r w:rsidR="00E73DF6" w:rsidRPr="005454AB">
        <w:rPr>
          <w:bCs/>
          <w:color w:val="000000" w:themeColor="text1"/>
          <w:lang w:eastAsia="en-GB"/>
        </w:rPr>
        <w:t>problems or disputes related to</w:t>
      </w:r>
      <w:r w:rsidRPr="0082150D">
        <w:t>:</w:t>
      </w:r>
      <w:r w:rsidR="00DA42B0">
        <w:rPr>
          <w:rStyle w:val="FootnoteReference"/>
        </w:rPr>
        <w:footnoteReference w:id="3"/>
      </w:r>
    </w:p>
    <w:p w14:paraId="4D736BD6" w14:textId="212792E2" w:rsidR="00D75881" w:rsidRPr="0082150D" w:rsidRDefault="00E73DF6" w:rsidP="00D75881">
      <w:pPr>
        <w:pStyle w:val="ListParagraph"/>
        <w:numPr>
          <w:ilvl w:val="0"/>
          <w:numId w:val="5"/>
        </w:numPr>
        <w:shd w:val="clear" w:color="auto" w:fill="FFFFFF" w:themeFill="background1"/>
        <w:spacing w:after="200" w:line="276" w:lineRule="auto"/>
        <w:jc w:val="both"/>
      </w:pPr>
      <w:r>
        <w:t>L</w:t>
      </w:r>
      <w:r w:rsidR="00D75881" w:rsidRPr="0082150D">
        <w:t>and or buying and selling property</w:t>
      </w:r>
    </w:p>
    <w:p w14:paraId="5FFCD1FF" w14:textId="063AA506" w:rsidR="00D75881" w:rsidRPr="0082150D" w:rsidRDefault="00D75881" w:rsidP="00D75881">
      <w:pPr>
        <w:pStyle w:val="ListParagraph"/>
        <w:numPr>
          <w:ilvl w:val="0"/>
          <w:numId w:val="5"/>
        </w:numPr>
        <w:shd w:val="clear" w:color="auto" w:fill="FFFFFF" w:themeFill="background1"/>
        <w:spacing w:after="200" w:line="276" w:lineRule="auto"/>
        <w:jc w:val="both"/>
      </w:pPr>
      <w:r w:rsidRPr="0082150D">
        <w:t xml:space="preserve">Family and relationship </w:t>
      </w:r>
      <w:r w:rsidR="00E73DF6">
        <w:t>break ups</w:t>
      </w:r>
    </w:p>
    <w:p w14:paraId="315462BA" w14:textId="12D97E25" w:rsidR="00E73DF6" w:rsidRDefault="00E73DF6" w:rsidP="00D75881">
      <w:pPr>
        <w:pStyle w:val="ListParagraph"/>
        <w:numPr>
          <w:ilvl w:val="0"/>
          <w:numId w:val="5"/>
        </w:numPr>
        <w:shd w:val="clear" w:color="auto" w:fill="FFFFFF" w:themeFill="background1"/>
        <w:spacing w:after="200" w:line="276" w:lineRule="auto"/>
        <w:jc w:val="both"/>
      </w:pPr>
      <w:r>
        <w:t xml:space="preserve">Injuries caused by </w:t>
      </w:r>
      <w:r w:rsidR="00202E1C" w:rsidRPr="00860E31">
        <w:t>an intentional or unintentional act or omission of another person or entity</w:t>
      </w:r>
    </w:p>
    <w:p w14:paraId="01111B00" w14:textId="2A6FDF05" w:rsidR="00D75881" w:rsidRDefault="00D75881" w:rsidP="00D75881">
      <w:pPr>
        <w:pStyle w:val="ListParagraph"/>
        <w:numPr>
          <w:ilvl w:val="0"/>
          <w:numId w:val="5"/>
        </w:numPr>
        <w:shd w:val="clear" w:color="auto" w:fill="FFFFFF" w:themeFill="background1"/>
        <w:spacing w:after="200" w:line="276" w:lineRule="auto"/>
        <w:jc w:val="both"/>
      </w:pPr>
      <w:r w:rsidRPr="0082150D">
        <w:t>Occupation</w:t>
      </w:r>
      <w:r w:rsidR="002B73B7">
        <w:t>/employment</w:t>
      </w:r>
    </w:p>
    <w:p w14:paraId="787DFEDB" w14:textId="3E0F0D29" w:rsidR="00DD3119" w:rsidRPr="0082150D" w:rsidRDefault="00DD3119" w:rsidP="00DD3119">
      <w:pPr>
        <w:pStyle w:val="ListParagraph"/>
        <w:numPr>
          <w:ilvl w:val="0"/>
          <w:numId w:val="5"/>
        </w:numPr>
        <w:shd w:val="clear" w:color="auto" w:fill="FFFFFF" w:themeFill="background1"/>
        <w:spacing w:after="200" w:line="276" w:lineRule="auto"/>
        <w:jc w:val="both"/>
      </w:pPr>
      <w:r>
        <w:t>Commercial</w:t>
      </w:r>
      <w:r w:rsidR="00202E1C">
        <w:t xml:space="preserve"> transactions</w:t>
      </w:r>
      <w:r>
        <w:t xml:space="preserve"> (including defective or undelivered goods or services)</w:t>
      </w:r>
    </w:p>
    <w:p w14:paraId="0845900B" w14:textId="7DA6CFD7" w:rsidR="00D75881" w:rsidRPr="0082150D" w:rsidRDefault="00D75881" w:rsidP="00D75881">
      <w:pPr>
        <w:pStyle w:val="ListParagraph"/>
        <w:numPr>
          <w:ilvl w:val="0"/>
          <w:numId w:val="5"/>
        </w:numPr>
        <w:shd w:val="clear" w:color="auto" w:fill="FFFFFF" w:themeFill="background1"/>
        <w:spacing w:after="200" w:line="276" w:lineRule="auto"/>
        <w:jc w:val="both"/>
      </w:pPr>
      <w:r w:rsidRPr="0082150D">
        <w:t xml:space="preserve">Government and public services </w:t>
      </w:r>
      <w:r w:rsidR="00DD3119">
        <w:t>(including abuse by public officials)</w:t>
      </w:r>
    </w:p>
    <w:p w14:paraId="6FB39C95" w14:textId="03806551" w:rsidR="00D75881" w:rsidRPr="0082150D" w:rsidRDefault="00D75881" w:rsidP="00D75881">
      <w:pPr>
        <w:pStyle w:val="ListParagraph"/>
        <w:numPr>
          <w:ilvl w:val="0"/>
          <w:numId w:val="5"/>
        </w:numPr>
        <w:shd w:val="clear" w:color="auto" w:fill="FFFFFF" w:themeFill="background1"/>
        <w:spacing w:after="200" w:line="276" w:lineRule="auto"/>
        <w:jc w:val="both"/>
      </w:pPr>
      <w:r w:rsidRPr="0082150D">
        <w:t xml:space="preserve">Government payments </w:t>
      </w:r>
    </w:p>
    <w:p w14:paraId="588AFA60" w14:textId="6FBB91CA" w:rsidR="00D75881" w:rsidRPr="0082150D" w:rsidRDefault="00513DBF" w:rsidP="00D75881">
      <w:pPr>
        <w:pStyle w:val="ListParagraph"/>
        <w:numPr>
          <w:ilvl w:val="0"/>
          <w:numId w:val="5"/>
        </w:numPr>
        <w:shd w:val="clear" w:color="auto" w:fill="FFFFFF" w:themeFill="background1"/>
        <w:spacing w:after="200" w:line="276" w:lineRule="auto"/>
        <w:jc w:val="both"/>
      </w:pPr>
      <w:r>
        <w:t>Housing (</w:t>
      </w:r>
      <w:r w:rsidR="00D75881" w:rsidRPr="0082150D">
        <w:t>Tenancy and landlord</w:t>
      </w:r>
      <w:r>
        <w:t>)</w:t>
      </w:r>
      <w:r w:rsidR="00D75881" w:rsidRPr="0082150D">
        <w:t xml:space="preserve"> </w:t>
      </w:r>
    </w:p>
    <w:p w14:paraId="66B408DE" w14:textId="480F65F6" w:rsidR="00D75881" w:rsidRDefault="00D75881" w:rsidP="00D75881">
      <w:pPr>
        <w:pStyle w:val="ListParagraph"/>
        <w:numPr>
          <w:ilvl w:val="0"/>
          <w:numId w:val="5"/>
        </w:numPr>
        <w:shd w:val="clear" w:color="auto" w:fill="FFFFFF" w:themeFill="background1"/>
        <w:spacing w:after="200" w:line="276" w:lineRule="auto"/>
        <w:jc w:val="both"/>
      </w:pPr>
      <w:r w:rsidRPr="0082150D">
        <w:t>Debt</w:t>
      </w:r>
      <w:r w:rsidR="002B73B7">
        <w:t>, damage compensation</w:t>
      </w:r>
      <w:r w:rsidR="00DA42B0">
        <w:t>,</w:t>
      </w:r>
      <w:r w:rsidRPr="0082150D">
        <w:t xml:space="preserve"> and </w:t>
      </w:r>
      <w:r w:rsidR="002B73B7">
        <w:t xml:space="preserve">other financial </w:t>
      </w:r>
      <w:r w:rsidR="00513DBF">
        <w:t>matters</w:t>
      </w:r>
    </w:p>
    <w:p w14:paraId="23C51E3E" w14:textId="5C02A111" w:rsidR="00987851" w:rsidRPr="002E2DF9" w:rsidRDefault="001D4CFB" w:rsidP="00987851">
      <w:pPr>
        <w:shd w:val="clear" w:color="auto" w:fill="FFFFFF" w:themeFill="background1"/>
        <w:spacing w:after="200" w:line="276" w:lineRule="auto"/>
        <w:jc w:val="both"/>
      </w:pPr>
      <w:r>
        <w:rPr>
          <w:bCs/>
        </w:rPr>
        <w:t>D</w:t>
      </w:r>
      <w:r w:rsidR="00987851" w:rsidRPr="00CA15E8">
        <w:rPr>
          <w:bCs/>
        </w:rPr>
        <w:t xml:space="preserve">ispute resolution mechanisms </w:t>
      </w:r>
      <w:r>
        <w:rPr>
          <w:bCs/>
        </w:rPr>
        <w:t xml:space="preserve">can </w:t>
      </w:r>
      <w:r w:rsidR="00987851" w:rsidRPr="00CA15E8">
        <w:rPr>
          <w:bCs/>
        </w:rPr>
        <w:t xml:space="preserve">vary </w:t>
      </w:r>
      <w:r>
        <w:rPr>
          <w:bCs/>
        </w:rPr>
        <w:t xml:space="preserve">across </w:t>
      </w:r>
      <w:r w:rsidR="00987851" w:rsidRPr="00CA15E8">
        <w:rPr>
          <w:bCs/>
        </w:rPr>
        <w:t xml:space="preserve">countries around the world. While in many countries courts represent the main institution dealing with disputes of </w:t>
      </w:r>
      <w:r>
        <w:rPr>
          <w:bCs/>
        </w:rPr>
        <w:t xml:space="preserve">civil </w:t>
      </w:r>
      <w:r w:rsidR="00987851">
        <w:t xml:space="preserve">nature, the same may not be true in </w:t>
      </w:r>
      <w:r>
        <w:t xml:space="preserve">countries or </w:t>
      </w:r>
      <w:r w:rsidR="00987851">
        <w:t xml:space="preserve">societies where the first point of reference in such cases are informal systems, </w:t>
      </w:r>
      <w:r w:rsidR="00987851" w:rsidRPr="00513DBF">
        <w:t xml:space="preserve">traditional or religious leaders. The formulation of the indicator, and the formulation of the questions in the survey, </w:t>
      </w:r>
      <w:proofErr w:type="gramStart"/>
      <w:r w:rsidR="00987851" w:rsidRPr="00513DBF">
        <w:t>ha</w:t>
      </w:r>
      <w:r w:rsidR="00513DBF" w:rsidRPr="00524623">
        <w:t>ve</w:t>
      </w:r>
      <w:r w:rsidR="00987851" w:rsidRPr="00524623">
        <w:t xml:space="preserve"> to</w:t>
      </w:r>
      <w:proofErr w:type="gramEnd"/>
      <w:r w:rsidR="00987851" w:rsidRPr="00524623">
        <w:t xml:space="preserve"> account </w:t>
      </w:r>
      <w:r w:rsidR="00844961">
        <w:t xml:space="preserve">for </w:t>
      </w:r>
      <w:r w:rsidR="00987851" w:rsidRPr="00524623">
        <w:t>these differen</w:t>
      </w:r>
      <w:r w:rsidR="00844961">
        <w:t>ces</w:t>
      </w:r>
      <w:r w:rsidR="00987851" w:rsidRPr="00524623">
        <w:t xml:space="preserve"> and make sure to include all relevant institutions </w:t>
      </w:r>
      <w:r w:rsidR="00844961">
        <w:t xml:space="preserve">or mechanisms </w:t>
      </w:r>
      <w:r w:rsidR="00987851" w:rsidRPr="00524623">
        <w:t xml:space="preserve">that are generally recognized </w:t>
      </w:r>
      <w:r w:rsidR="00844961">
        <w:t>and used</w:t>
      </w:r>
      <w:r w:rsidR="00987851" w:rsidRPr="002E2DF9">
        <w:t>.</w:t>
      </w:r>
    </w:p>
    <w:p w14:paraId="5C25F216" w14:textId="77777777" w:rsidR="00987851" w:rsidRPr="00513DBF" w:rsidRDefault="001D4CFB" w:rsidP="00987851">
      <w:pPr>
        <w:shd w:val="clear" w:color="auto" w:fill="FFFFFF" w:themeFill="background1"/>
        <w:spacing w:after="200" w:line="276" w:lineRule="auto"/>
        <w:jc w:val="both"/>
      </w:pPr>
      <w:r w:rsidRPr="00B60149">
        <w:t xml:space="preserve">A list </w:t>
      </w:r>
      <w:r w:rsidR="00987851" w:rsidRPr="00B60149">
        <w:t xml:space="preserve">of dispute resolution mechanisms </w:t>
      </w:r>
      <w:r w:rsidRPr="00B60149">
        <w:t>could include</w:t>
      </w:r>
      <w:r w:rsidR="00987851" w:rsidRPr="00513DBF">
        <w:rPr>
          <w:rStyle w:val="FootnoteReference"/>
        </w:rPr>
        <w:footnoteReference w:id="4"/>
      </w:r>
      <w:r w:rsidRPr="00513DBF">
        <w:t>:</w:t>
      </w:r>
      <w:r w:rsidR="00987851" w:rsidRPr="00513DBF">
        <w:t xml:space="preserve"> </w:t>
      </w:r>
    </w:p>
    <w:p w14:paraId="36C50D5C" w14:textId="161D1042" w:rsidR="00987851" w:rsidRPr="00513DBF" w:rsidRDefault="00987851" w:rsidP="00987851">
      <w:pPr>
        <w:pStyle w:val="ListParagraph"/>
        <w:numPr>
          <w:ilvl w:val="0"/>
          <w:numId w:val="5"/>
        </w:numPr>
        <w:shd w:val="clear" w:color="auto" w:fill="FFFFFF" w:themeFill="background1"/>
        <w:spacing w:after="200" w:line="276" w:lineRule="auto"/>
        <w:jc w:val="both"/>
        <w:rPr>
          <w:rFonts w:cstheme="minorHAnsi"/>
          <w:color w:val="000000" w:themeColor="text1"/>
          <w:lang w:eastAsia="en-GB"/>
        </w:rPr>
      </w:pPr>
      <w:r w:rsidRPr="00513DBF">
        <w:rPr>
          <w:rFonts w:cstheme="minorHAnsi"/>
          <w:color w:val="000000" w:themeColor="text1"/>
          <w:lang w:eastAsia="en-GB"/>
        </w:rPr>
        <w:t>Lawyer or third-party mediation</w:t>
      </w:r>
    </w:p>
    <w:p w14:paraId="409E5452" w14:textId="55A07271" w:rsidR="00987851" w:rsidRPr="00513DBF" w:rsidRDefault="00987851" w:rsidP="00987851">
      <w:pPr>
        <w:pStyle w:val="ListParagraph"/>
        <w:numPr>
          <w:ilvl w:val="0"/>
          <w:numId w:val="5"/>
        </w:numPr>
        <w:shd w:val="clear" w:color="auto" w:fill="FFFFFF" w:themeFill="background1"/>
        <w:spacing w:after="200" w:line="276" w:lineRule="auto"/>
        <w:jc w:val="both"/>
        <w:rPr>
          <w:rFonts w:cstheme="minorHAnsi"/>
          <w:color w:val="000000" w:themeColor="text1"/>
          <w:lang w:eastAsia="en-GB"/>
        </w:rPr>
      </w:pPr>
      <w:r w:rsidRPr="00513DBF">
        <w:rPr>
          <w:rFonts w:cstheme="minorHAnsi"/>
          <w:color w:val="000000" w:themeColor="text1"/>
          <w:lang w:eastAsia="en-GB"/>
        </w:rPr>
        <w:t>Community or religious leaders</w:t>
      </w:r>
      <w:r w:rsidR="00305ECB">
        <w:rPr>
          <w:rFonts w:cstheme="minorHAnsi"/>
          <w:color w:val="000000" w:themeColor="text1"/>
          <w:lang w:eastAsia="en-GB"/>
        </w:rPr>
        <w:t xml:space="preserve"> or other customary law mechanisms</w:t>
      </w:r>
      <w:r w:rsidRPr="00513DBF">
        <w:rPr>
          <w:rFonts w:cstheme="minorHAnsi"/>
          <w:color w:val="000000" w:themeColor="text1"/>
          <w:lang w:eastAsia="en-GB"/>
        </w:rPr>
        <w:t xml:space="preserve"> </w:t>
      </w:r>
    </w:p>
    <w:p w14:paraId="699C2DCA" w14:textId="6BE9FDFD" w:rsidR="00513DBF" w:rsidRDefault="00513DBF" w:rsidP="001D4CFB">
      <w:pPr>
        <w:pStyle w:val="ListParagraph"/>
        <w:numPr>
          <w:ilvl w:val="0"/>
          <w:numId w:val="5"/>
        </w:numPr>
        <w:shd w:val="clear" w:color="auto" w:fill="FFFFFF" w:themeFill="background1"/>
        <w:spacing w:after="200" w:line="276" w:lineRule="auto"/>
        <w:jc w:val="both"/>
        <w:rPr>
          <w:rFonts w:cstheme="minorHAnsi"/>
          <w:color w:val="000000" w:themeColor="text1"/>
          <w:lang w:eastAsia="en-GB"/>
        </w:rPr>
      </w:pPr>
      <w:r>
        <w:rPr>
          <w:rFonts w:cstheme="minorHAnsi"/>
          <w:color w:val="000000" w:themeColor="text1"/>
          <w:lang w:eastAsia="en-GB"/>
        </w:rPr>
        <w:t>A court or tribunal</w:t>
      </w:r>
    </w:p>
    <w:p w14:paraId="656F4391" w14:textId="77777777" w:rsidR="00513DBF" w:rsidRDefault="00513DBF" w:rsidP="001D4CFB">
      <w:pPr>
        <w:pStyle w:val="ListParagraph"/>
        <w:numPr>
          <w:ilvl w:val="0"/>
          <w:numId w:val="5"/>
        </w:numPr>
        <w:shd w:val="clear" w:color="auto" w:fill="FFFFFF" w:themeFill="background1"/>
        <w:spacing w:after="200" w:line="276" w:lineRule="auto"/>
        <w:jc w:val="both"/>
        <w:rPr>
          <w:rFonts w:cstheme="minorHAnsi"/>
          <w:color w:val="000000" w:themeColor="text1"/>
          <w:lang w:eastAsia="en-GB"/>
        </w:rPr>
      </w:pPr>
      <w:r>
        <w:rPr>
          <w:rFonts w:cstheme="minorHAnsi"/>
          <w:color w:val="000000" w:themeColor="text1"/>
          <w:lang w:eastAsia="en-GB"/>
        </w:rPr>
        <w:t>The police</w:t>
      </w:r>
    </w:p>
    <w:p w14:paraId="11D80325" w14:textId="77777777" w:rsidR="00513DBF" w:rsidRDefault="00513DBF" w:rsidP="001D4CFB">
      <w:pPr>
        <w:pStyle w:val="ListParagraph"/>
        <w:numPr>
          <w:ilvl w:val="0"/>
          <w:numId w:val="5"/>
        </w:numPr>
        <w:shd w:val="clear" w:color="auto" w:fill="FFFFFF" w:themeFill="background1"/>
        <w:spacing w:after="200" w:line="276" w:lineRule="auto"/>
        <w:jc w:val="both"/>
        <w:rPr>
          <w:rFonts w:cstheme="minorHAnsi"/>
          <w:color w:val="000000" w:themeColor="text1"/>
          <w:lang w:eastAsia="en-GB"/>
        </w:rPr>
      </w:pPr>
      <w:r>
        <w:rPr>
          <w:rFonts w:cstheme="minorHAnsi"/>
          <w:color w:val="000000" w:themeColor="text1"/>
          <w:lang w:eastAsia="en-GB"/>
        </w:rPr>
        <w:t>A government office or other formal designated authority or agency</w:t>
      </w:r>
    </w:p>
    <w:p w14:paraId="151595B9" w14:textId="50D49AFD" w:rsidR="00891DC2" w:rsidRPr="00513DBF" w:rsidRDefault="008B10FD" w:rsidP="001D4CFB">
      <w:pPr>
        <w:pStyle w:val="ListParagraph"/>
        <w:numPr>
          <w:ilvl w:val="0"/>
          <w:numId w:val="5"/>
        </w:numPr>
        <w:shd w:val="clear" w:color="auto" w:fill="FFFFFF" w:themeFill="background1"/>
        <w:spacing w:after="200" w:line="276" w:lineRule="auto"/>
        <w:jc w:val="both"/>
        <w:rPr>
          <w:rFonts w:cstheme="minorHAnsi"/>
          <w:color w:val="000000" w:themeColor="text1"/>
          <w:lang w:eastAsia="en-GB"/>
        </w:rPr>
      </w:pPr>
      <w:r>
        <w:rPr>
          <w:rFonts w:cstheme="minorHAnsi"/>
          <w:color w:val="000000" w:themeColor="text1"/>
          <w:lang w:eastAsia="en-GB"/>
        </w:rPr>
        <w:t>Other</w:t>
      </w:r>
      <w:r w:rsidR="00DB6862">
        <w:rPr>
          <w:rFonts w:cstheme="minorHAnsi"/>
          <w:color w:val="000000" w:themeColor="text1"/>
          <w:lang w:eastAsia="en-GB"/>
        </w:rPr>
        <w:t xml:space="preserve"> </w:t>
      </w:r>
      <w:r w:rsidR="00513DBF">
        <w:rPr>
          <w:rFonts w:cstheme="minorHAnsi"/>
          <w:color w:val="000000" w:themeColor="text1"/>
          <w:lang w:eastAsia="en-GB"/>
        </w:rPr>
        <w:t>formal complaints or appeal proce</w:t>
      </w:r>
      <w:r>
        <w:rPr>
          <w:rFonts w:cstheme="minorHAnsi"/>
          <w:color w:val="000000" w:themeColor="text1"/>
          <w:lang w:eastAsia="en-GB"/>
        </w:rPr>
        <w:t>dure</w:t>
      </w:r>
      <w:r w:rsidR="00DB6862">
        <w:rPr>
          <w:rFonts w:cstheme="minorHAnsi"/>
          <w:color w:val="000000" w:themeColor="text1"/>
          <w:lang w:eastAsia="en-GB"/>
        </w:rPr>
        <w:t xml:space="preserve"> </w:t>
      </w:r>
    </w:p>
    <w:p w14:paraId="113896AD" w14:textId="5F83CC55" w:rsidR="00860E31" w:rsidRPr="00B60149" w:rsidRDefault="00860E31" w:rsidP="00860E31">
      <w:pPr>
        <w:shd w:val="clear" w:color="auto" w:fill="FFFFFF" w:themeFill="background1"/>
        <w:spacing w:after="200" w:line="276" w:lineRule="auto"/>
        <w:jc w:val="both"/>
      </w:pPr>
      <w:r>
        <w:t xml:space="preserve">To improve the accuracy of the indicator it is important to define precisely the denominator (the population at ‘risk’ of experiencing the event of interest, i.e. accessing a dispute-resolution mechanism) </w:t>
      </w:r>
      <w:r w:rsidR="00F0587B">
        <w:t xml:space="preserve">by identifying the ‘demand’ of </w:t>
      </w:r>
      <w:r>
        <w:t>dispute resolution mechanisms. This demand is composed of those who use dispute resolution mechanisms (users) and those who</w:t>
      </w:r>
      <w:r w:rsidR="00F0587B">
        <w:t xml:space="preserve"> -</w:t>
      </w:r>
      <w:r>
        <w:t xml:space="preserve"> despite </w:t>
      </w:r>
      <w:r w:rsidR="00F0587B">
        <w:t xml:space="preserve">needing </w:t>
      </w:r>
      <w:r>
        <w:t>them</w:t>
      </w:r>
      <w:r w:rsidR="00F0587B">
        <w:t xml:space="preserve"> -</w:t>
      </w:r>
      <w:r w:rsidRPr="00B60149">
        <w:t xml:space="preserve"> do not have “access” to </w:t>
      </w:r>
      <w:r w:rsidR="00F0587B">
        <w:t>such mechanisms for various reasons such as lack of knowledge on how to access them, lack of t</w:t>
      </w:r>
      <w:r w:rsidRPr="00B60149">
        <w:t xml:space="preserve">rust </w:t>
      </w:r>
      <w:r w:rsidR="00F0587B">
        <w:t xml:space="preserve">in </w:t>
      </w:r>
      <w:r w:rsidRPr="00B60149">
        <w:t xml:space="preserve">institutions, </w:t>
      </w:r>
      <w:r w:rsidR="00F0587B">
        <w:t xml:space="preserve">lack of </w:t>
      </w:r>
      <w:r>
        <w:t xml:space="preserve">legal </w:t>
      </w:r>
      <w:r w:rsidR="00F0587B">
        <w:t>advice/</w:t>
      </w:r>
      <w:r>
        <w:t>assistance</w:t>
      </w:r>
      <w:r w:rsidR="00F0587B">
        <w:t xml:space="preserve">, lack of awareness about justice mechanisms, geographical distance or financial costs, </w:t>
      </w:r>
      <w:r>
        <w:t xml:space="preserve">to mention a few. </w:t>
      </w:r>
      <w:r w:rsidR="002F59D6">
        <w:t xml:space="preserve">It is important to exclude from the demand </w:t>
      </w:r>
      <w:r>
        <w:t>those who experience disputes and do not turn to dispute resolution mechanisms because they do not need them (voluntarily self-excluded)</w:t>
      </w:r>
      <w:r w:rsidR="002F59D6">
        <w:t>. This refers to cases where</w:t>
      </w:r>
      <w:r>
        <w:t xml:space="preserve"> </w:t>
      </w:r>
      <w:r w:rsidRPr="00B60149">
        <w:t xml:space="preserve">the </w:t>
      </w:r>
      <w:r>
        <w:t>dispute</w:t>
      </w:r>
      <w:r w:rsidRPr="00B60149">
        <w:t xml:space="preserve"> </w:t>
      </w:r>
      <w:r>
        <w:t>is</w:t>
      </w:r>
      <w:r w:rsidRPr="00B60149">
        <w:t xml:space="preserve"> simple </w:t>
      </w:r>
      <w:r w:rsidR="002F59D6">
        <w:t xml:space="preserve">or when respondents </w:t>
      </w:r>
      <w:r>
        <w:t>solve</w:t>
      </w:r>
      <w:r w:rsidRPr="00B60149">
        <w:t xml:space="preserve"> </w:t>
      </w:r>
      <w:r w:rsidR="002F59D6">
        <w:t>the issue with the other party through direct negotiation</w:t>
      </w:r>
      <w:r>
        <w:t>.</w:t>
      </w:r>
      <w:r w:rsidRPr="00B60149">
        <w:t xml:space="preserve"> </w:t>
      </w:r>
    </w:p>
    <w:p w14:paraId="1695F083" w14:textId="77777777" w:rsidR="00860E31" w:rsidRPr="002E2ACD" w:rsidRDefault="00860E31" w:rsidP="008C534C">
      <w:pPr>
        <w:shd w:val="clear" w:color="auto" w:fill="FFFFFF" w:themeFill="background1"/>
        <w:spacing w:after="200" w:line="276" w:lineRule="auto"/>
        <w:rPr>
          <w:rFonts w:eastAsia="Times New Roman"/>
          <w:b/>
          <w:bCs/>
          <w:color w:val="4A4A4A"/>
          <w:lang w:eastAsia="en-GB"/>
        </w:rPr>
      </w:pPr>
    </w:p>
    <w:p w14:paraId="6C2DCE83" w14:textId="306B11C8" w:rsidR="00513DBF" w:rsidRPr="002E2DF9" w:rsidRDefault="008C534C" w:rsidP="008C534C">
      <w:pPr>
        <w:shd w:val="clear" w:color="auto" w:fill="FFFFFF" w:themeFill="background1"/>
        <w:spacing w:after="200" w:line="276" w:lineRule="auto"/>
        <w:rPr>
          <w:rFonts w:eastAsia="Times New Roman"/>
          <w:b/>
          <w:bCs/>
          <w:color w:val="4A4A4A"/>
          <w:lang w:val="en-US" w:eastAsia="en-GB"/>
        </w:rPr>
      </w:pPr>
      <w:r w:rsidRPr="002E2DF9">
        <w:rPr>
          <w:rFonts w:eastAsia="Times New Roman"/>
          <w:b/>
          <w:bCs/>
          <w:color w:val="4A4A4A"/>
          <w:lang w:val="en-US" w:eastAsia="en-GB"/>
        </w:rPr>
        <w:lastRenderedPageBreak/>
        <w:t>Comments and limitations</w:t>
      </w:r>
    </w:p>
    <w:p w14:paraId="5E7A82AF" w14:textId="45D8F195" w:rsidR="00067DB9" w:rsidRDefault="008A22AE" w:rsidP="005A230B">
      <w:pPr>
        <w:shd w:val="clear" w:color="auto" w:fill="FFFFFF" w:themeFill="background1"/>
        <w:spacing w:after="200" w:line="276" w:lineRule="auto"/>
        <w:jc w:val="both"/>
        <w:rPr>
          <w:bCs/>
        </w:rPr>
      </w:pPr>
      <w:r>
        <w:rPr>
          <w:rFonts w:cstheme="minorHAnsi"/>
          <w:color w:val="000000" w:themeColor="text1"/>
          <w:lang w:eastAsia="en-GB"/>
        </w:rPr>
        <w:t>A major challenge is that</w:t>
      </w:r>
      <w:r w:rsidR="00627DB0">
        <w:rPr>
          <w:rFonts w:cstheme="minorHAnsi"/>
          <w:color w:val="000000" w:themeColor="text1"/>
          <w:lang w:eastAsia="en-GB"/>
        </w:rPr>
        <w:t xml:space="preserve"> </w:t>
      </w:r>
      <w:r w:rsidR="005E76F6" w:rsidRPr="0082150D">
        <w:rPr>
          <w:bCs/>
        </w:rPr>
        <w:t xml:space="preserve">the concept of dispute </w:t>
      </w:r>
      <w:r w:rsidR="00627DB0">
        <w:rPr>
          <w:bCs/>
        </w:rPr>
        <w:t xml:space="preserve">(justiciable problem) </w:t>
      </w:r>
      <w:r w:rsidR="00A653A1">
        <w:rPr>
          <w:bCs/>
        </w:rPr>
        <w:t xml:space="preserve">is subject to different interpretations and the propensity to consider a disagreement or conflict in terms of a justiciable problem can vary greatly across individuals and between societies. A way to address this issue is to focus on </w:t>
      </w:r>
      <w:proofErr w:type="gramStart"/>
      <w:r w:rsidR="00A653A1">
        <w:rPr>
          <w:bCs/>
        </w:rPr>
        <w:t>a number of</w:t>
      </w:r>
      <w:proofErr w:type="gramEnd"/>
      <w:r w:rsidR="00A653A1">
        <w:rPr>
          <w:bCs/>
        </w:rPr>
        <w:t xml:space="preserve"> possible disputes that can be considered of justiciable nature across most countries, as for example </w:t>
      </w:r>
      <w:r w:rsidR="007B5BA8">
        <w:rPr>
          <w:bCs/>
        </w:rPr>
        <w:t>the one listed in the section above</w:t>
      </w:r>
      <w:r w:rsidR="008B10FD">
        <w:rPr>
          <w:rStyle w:val="FootnoteReference"/>
          <w:bCs/>
        </w:rPr>
        <w:footnoteReference w:id="5"/>
      </w:r>
      <w:r w:rsidR="007B5BA8">
        <w:rPr>
          <w:bCs/>
        </w:rPr>
        <w:t xml:space="preserve">. Standardised descriptions of the most common types of disputes are also to </w:t>
      </w:r>
      <w:r w:rsidR="005E76F6" w:rsidRPr="0082150D">
        <w:rPr>
          <w:bCs/>
        </w:rPr>
        <w:t xml:space="preserve">be used in surveys </w:t>
      </w:r>
      <w:r w:rsidR="00202E1C">
        <w:rPr>
          <w:bCs/>
        </w:rPr>
        <w:t xml:space="preserve">in order </w:t>
      </w:r>
      <w:r w:rsidR="007B5BA8">
        <w:rPr>
          <w:bCs/>
        </w:rPr>
        <w:t xml:space="preserve">to maximise </w:t>
      </w:r>
      <w:r w:rsidR="005E76F6" w:rsidRPr="0082150D">
        <w:rPr>
          <w:bCs/>
        </w:rPr>
        <w:t>comparab</w:t>
      </w:r>
      <w:r w:rsidR="007B5BA8">
        <w:rPr>
          <w:bCs/>
        </w:rPr>
        <w:t>ility</w:t>
      </w:r>
      <w:r w:rsidR="005E76F6" w:rsidRPr="0082150D">
        <w:rPr>
          <w:bCs/>
        </w:rPr>
        <w:t xml:space="preserve"> across different legal systems and countries. </w:t>
      </w:r>
    </w:p>
    <w:p w14:paraId="2D27BD51" w14:textId="10C0CD0E" w:rsidR="002F59D6" w:rsidRDefault="002F59D6" w:rsidP="005A230B">
      <w:pPr>
        <w:shd w:val="clear" w:color="auto" w:fill="FFFFFF" w:themeFill="background1"/>
        <w:spacing w:after="200" w:line="276" w:lineRule="auto"/>
        <w:jc w:val="both"/>
        <w:rPr>
          <w:bCs/>
        </w:rPr>
      </w:pPr>
      <w:r>
        <w:rPr>
          <w:bCs/>
        </w:rPr>
        <w:t xml:space="preserve">In order to identify the group of people in demand of dispute resolution mechanism it is necessary to identify the group of people </w:t>
      </w:r>
      <w:r>
        <w:t xml:space="preserve">voluntarily self-excluded. A way to identify this group is </w:t>
      </w:r>
      <w:r w:rsidRPr="00B60149">
        <w:t>by in</w:t>
      </w:r>
      <w:r>
        <w:t xml:space="preserve">cluding an additional </w:t>
      </w:r>
      <w:r w:rsidRPr="00B60149">
        <w:t xml:space="preserve">question about the reasons why people did not use a dispute resolution mechanism. </w:t>
      </w:r>
      <w:r>
        <w:t xml:space="preserve">This question would allow </w:t>
      </w:r>
      <w:r w:rsidRPr="00B60149">
        <w:t>to differentiate cases of volun</w:t>
      </w:r>
      <w:r>
        <w:t xml:space="preserve">tary and involuntary exclusion and define the denominator </w:t>
      </w:r>
      <w:r w:rsidRPr="00B60149">
        <w:t>as the</w:t>
      </w:r>
      <w:r>
        <w:t xml:space="preserve"> </w:t>
      </w:r>
      <w:r w:rsidRPr="00B60149">
        <w:t>population who experienced a problem</w:t>
      </w:r>
      <w:r>
        <w:t xml:space="preserve"> minus the voluntarily self-excluded.</w:t>
      </w:r>
    </w:p>
    <w:p w14:paraId="684D2CEA" w14:textId="074ACD0E" w:rsidR="00524623" w:rsidRDefault="007B5BA8" w:rsidP="005A230B">
      <w:pPr>
        <w:shd w:val="clear" w:color="auto" w:fill="FFFFFF" w:themeFill="background1"/>
        <w:spacing w:after="200" w:line="276" w:lineRule="auto"/>
        <w:jc w:val="both"/>
        <w:rPr>
          <w:bCs/>
        </w:rPr>
      </w:pPr>
      <w:r>
        <w:rPr>
          <w:bCs/>
        </w:rPr>
        <w:t>Another challenge re</w:t>
      </w:r>
      <w:r w:rsidR="00C46FC3">
        <w:rPr>
          <w:bCs/>
        </w:rPr>
        <w:t>fers</w:t>
      </w:r>
      <w:r>
        <w:rPr>
          <w:bCs/>
        </w:rPr>
        <w:t xml:space="preserve"> to identifying possible </w:t>
      </w:r>
      <w:r w:rsidR="005A230B" w:rsidRPr="0082150D">
        <w:rPr>
          <w:bCs/>
        </w:rPr>
        <w:t xml:space="preserve">dispute resolution mechanisms </w:t>
      </w:r>
      <w:r>
        <w:rPr>
          <w:bCs/>
        </w:rPr>
        <w:t xml:space="preserve">as they </w:t>
      </w:r>
      <w:r w:rsidR="005A230B" w:rsidRPr="0082150D">
        <w:rPr>
          <w:bCs/>
        </w:rPr>
        <w:t xml:space="preserve">vary </w:t>
      </w:r>
      <w:r>
        <w:rPr>
          <w:bCs/>
        </w:rPr>
        <w:t xml:space="preserve">considerably </w:t>
      </w:r>
      <w:r w:rsidR="005A230B" w:rsidRPr="0082150D">
        <w:rPr>
          <w:bCs/>
        </w:rPr>
        <w:t>in different countries around the world</w:t>
      </w:r>
      <w:r w:rsidR="00524623" w:rsidRPr="00524623">
        <w:rPr>
          <w:bCs/>
        </w:rPr>
        <w:t>. The</w:t>
      </w:r>
      <w:r w:rsidR="005A230B" w:rsidRPr="00524623">
        <w:rPr>
          <w:bCs/>
        </w:rPr>
        <w:t xml:space="preserve"> formulation of the questions in the survey </w:t>
      </w:r>
      <w:proofErr w:type="gramStart"/>
      <w:r w:rsidR="005A230B" w:rsidRPr="00524623">
        <w:rPr>
          <w:bCs/>
        </w:rPr>
        <w:t>has to</w:t>
      </w:r>
      <w:proofErr w:type="gramEnd"/>
      <w:r w:rsidR="005A230B" w:rsidRPr="00524623">
        <w:rPr>
          <w:bCs/>
        </w:rPr>
        <w:t xml:space="preserve"> take into account these different possibilities and make sure to include all relevant institutions generally recognized in the community.</w:t>
      </w:r>
      <w:r w:rsidR="00524623" w:rsidRPr="00524623">
        <w:rPr>
          <w:bCs/>
        </w:rPr>
        <w:t xml:space="preserve"> This propos</w:t>
      </w:r>
      <w:r w:rsidR="00E05DE4">
        <w:rPr>
          <w:bCs/>
        </w:rPr>
        <w:t>ed</w:t>
      </w:r>
      <w:r w:rsidR="00524623" w:rsidRPr="00524623">
        <w:rPr>
          <w:bCs/>
        </w:rPr>
        <w:t xml:space="preserve"> list of </w:t>
      </w:r>
      <w:r w:rsidR="00827976">
        <w:rPr>
          <w:bCs/>
        </w:rPr>
        <w:t xml:space="preserve">dispute resolution </w:t>
      </w:r>
      <w:r w:rsidR="00524623" w:rsidRPr="00524623">
        <w:rPr>
          <w:bCs/>
        </w:rPr>
        <w:t xml:space="preserve">mechanisms </w:t>
      </w:r>
      <w:r w:rsidR="00E05DE4">
        <w:rPr>
          <w:bCs/>
        </w:rPr>
        <w:t xml:space="preserve">identifies those </w:t>
      </w:r>
      <w:r w:rsidR="00524623" w:rsidRPr="00524623">
        <w:rPr>
          <w:bCs/>
        </w:rPr>
        <w:t xml:space="preserve">that are common in most countries in the </w:t>
      </w:r>
      <w:proofErr w:type="gramStart"/>
      <w:r w:rsidR="00524623" w:rsidRPr="00524623">
        <w:rPr>
          <w:bCs/>
        </w:rPr>
        <w:t>world</w:t>
      </w:r>
      <w:proofErr w:type="gramEnd"/>
      <w:r w:rsidR="00E05DE4">
        <w:rPr>
          <w:bCs/>
        </w:rPr>
        <w:t xml:space="preserve"> but it can</w:t>
      </w:r>
      <w:r w:rsidR="00DB6862">
        <w:rPr>
          <w:bCs/>
        </w:rPr>
        <w:t xml:space="preserve"> </w:t>
      </w:r>
      <w:r w:rsidR="00E05DE4">
        <w:rPr>
          <w:bCs/>
        </w:rPr>
        <w:t xml:space="preserve">be adapted to the </w:t>
      </w:r>
      <w:r w:rsidR="00524623" w:rsidRPr="002E2DF9">
        <w:rPr>
          <w:bCs/>
        </w:rPr>
        <w:t>country context.</w:t>
      </w:r>
    </w:p>
    <w:p w14:paraId="4E5DCB01" w14:textId="2DC61D32" w:rsidR="004A0CE2" w:rsidRDefault="004A0CE2" w:rsidP="00305ECB">
      <w:pPr>
        <w:shd w:val="clear" w:color="auto" w:fill="FFFFFF" w:themeFill="background1"/>
        <w:spacing w:after="200" w:line="276" w:lineRule="auto"/>
        <w:jc w:val="both"/>
      </w:pPr>
      <w:r>
        <w:t xml:space="preserve">The share of population experiencing the disputes under investigation can be of relatively small size and this can </w:t>
      </w:r>
      <w:r w:rsidR="002E2DF9">
        <w:t xml:space="preserve">influence </w:t>
      </w:r>
      <w:r>
        <w:t xml:space="preserve">the statistical significance of results. </w:t>
      </w:r>
      <w:r w:rsidR="00644D8A">
        <w:t>A way to address this is to increase the survey’s reference period, recognizing that r</w:t>
      </w:r>
      <w:r w:rsidR="00644D8A" w:rsidRPr="002E2DF9">
        <w:t xml:space="preserve">espondents’ ability to recall specific issues becomes increasingly unreliable the further back in time it </w:t>
      </w:r>
      <w:r w:rsidR="00644D8A">
        <w:t xml:space="preserve">extends. </w:t>
      </w:r>
      <w:r>
        <w:t xml:space="preserve">For </w:t>
      </w:r>
      <w:r w:rsidR="00B60149">
        <w:t xml:space="preserve">these </w:t>
      </w:r>
      <w:r>
        <w:t>reason</w:t>
      </w:r>
      <w:r w:rsidR="00B60149">
        <w:t>s</w:t>
      </w:r>
      <w:r>
        <w:t xml:space="preserve">, </w:t>
      </w:r>
      <w:r w:rsidR="002E2DF9">
        <w:t xml:space="preserve">this proposal </w:t>
      </w:r>
      <w:r w:rsidR="00305ECB">
        <w:t xml:space="preserve">follows the recommendation from the </w:t>
      </w:r>
      <w:r w:rsidR="00305ECB" w:rsidRPr="00067DB9">
        <w:rPr>
          <w:bCs/>
        </w:rPr>
        <w:t>Legal Needs Surveys and Access to Justice methodological guidance</w:t>
      </w:r>
      <w:r w:rsidR="00305ECB">
        <w:rPr>
          <w:bCs/>
        </w:rPr>
        <w:t xml:space="preserve"> and suggests</w:t>
      </w:r>
      <w:r w:rsidR="002E2DF9">
        <w:t xml:space="preserve"> </w:t>
      </w:r>
      <w:r>
        <w:t xml:space="preserve">a reference interval of </w:t>
      </w:r>
      <w:r w:rsidR="002E2DF9">
        <w:t>two</w:t>
      </w:r>
      <w:r>
        <w:t xml:space="preserve"> years</w:t>
      </w:r>
      <w:r w:rsidR="00392395">
        <w:t xml:space="preserve">. With such reference period resulting data would be suitable for monitoring recent changes in contexts/policies while being based on </w:t>
      </w:r>
      <w:r>
        <w:t>a sufficient number of cases</w:t>
      </w:r>
      <w:r w:rsidR="002E2DF9">
        <w:t xml:space="preserve"> </w:t>
      </w:r>
      <w:r w:rsidR="00392395">
        <w:t>to ensure statistical significance</w:t>
      </w:r>
      <w:r w:rsidR="002E2DF9" w:rsidRPr="002E2DF9">
        <w:t xml:space="preserve"> </w:t>
      </w:r>
      <w:r w:rsidR="00392395">
        <w:t xml:space="preserve">of </w:t>
      </w:r>
      <w:r w:rsidR="002E2DF9" w:rsidRPr="002E2DF9">
        <w:t>analys</w:t>
      </w:r>
      <w:r w:rsidR="00392395">
        <w:t>e</w:t>
      </w:r>
      <w:r w:rsidR="002E2DF9" w:rsidRPr="002E2DF9">
        <w:t xml:space="preserve">s </w:t>
      </w:r>
      <w:r>
        <w:t>.</w:t>
      </w:r>
      <w:r w:rsidR="00305ECB">
        <w:rPr>
          <w:rStyle w:val="FootnoteReference"/>
        </w:rPr>
        <w:footnoteReference w:id="6"/>
      </w:r>
      <w:r>
        <w:t xml:space="preserve"> Possible telescoping effects (the effect of misplacement in time of events taking place in the past) need to be addressed properly by bounding in clear terms the time interval of reference in relevant questions.</w:t>
      </w:r>
      <w:r w:rsidR="002E2DF9">
        <w:t xml:space="preserve"> </w:t>
      </w:r>
    </w:p>
    <w:p w14:paraId="5690DABA" w14:textId="2C75041F" w:rsidR="008C534C" w:rsidRDefault="008C534C" w:rsidP="00E57201">
      <w:pPr>
        <w:jc w:val="both"/>
        <w:rPr>
          <w:bCs/>
        </w:rPr>
      </w:pPr>
    </w:p>
    <w:p w14:paraId="0E2404D0" w14:textId="77777777" w:rsidR="008C534C" w:rsidRPr="005F414E" w:rsidRDefault="008C534C" w:rsidP="008C534C">
      <w:pPr>
        <w:pBdr>
          <w:bottom w:val="single" w:sz="12" w:space="4" w:color="DDDDDD"/>
        </w:pBdr>
        <w:shd w:val="clear" w:color="auto" w:fill="FFFFFF" w:themeFill="background1"/>
        <w:outlineLvl w:val="2"/>
        <w:rPr>
          <w:rFonts w:ascii="Calibri" w:hAnsi="Calibri" w:cs="Calibri"/>
          <w:color w:val="1C75BC"/>
          <w:sz w:val="36"/>
          <w:szCs w:val="36"/>
          <w:lang w:eastAsia="en-GB"/>
        </w:rPr>
      </w:pPr>
      <w:r w:rsidRPr="005F414E">
        <w:rPr>
          <w:rFonts w:ascii="Calibri" w:hAnsi="Calibri" w:cs="Calibri"/>
          <w:color w:val="1C75BC"/>
          <w:sz w:val="36"/>
          <w:szCs w:val="36"/>
          <w:lang w:eastAsia="en-GB"/>
        </w:rPr>
        <w:t>Methodology</w:t>
      </w:r>
    </w:p>
    <w:p w14:paraId="16D960FA" w14:textId="77777777" w:rsidR="008C534C" w:rsidRPr="007D1F99" w:rsidRDefault="008C534C" w:rsidP="00E57201">
      <w:pPr>
        <w:jc w:val="both"/>
        <w:rPr>
          <w:b/>
          <w:bCs/>
        </w:rPr>
      </w:pPr>
      <w:r w:rsidRPr="007D1F99">
        <w:rPr>
          <w:b/>
          <w:bCs/>
        </w:rPr>
        <w:t>Computation method:</w:t>
      </w:r>
    </w:p>
    <w:p w14:paraId="2C6A2040" w14:textId="6A2C04FA" w:rsidR="002A6DCB" w:rsidRPr="007D1F99" w:rsidRDefault="002A6DCB" w:rsidP="002A6DCB">
      <w:pPr>
        <w:shd w:val="clear" w:color="auto" w:fill="FFFFFF"/>
        <w:spacing w:after="0"/>
        <w:rPr>
          <w:rFonts w:eastAsia="Times New Roman"/>
          <w:color w:val="4A4A4A"/>
          <w:lang w:val="en-US" w:eastAsia="en-GB"/>
        </w:rPr>
      </w:pPr>
      <w:r w:rsidRPr="007D1F99">
        <w:rPr>
          <w:rFonts w:eastAsia="Times New Roman"/>
          <w:color w:val="4A4A4A"/>
          <w:lang w:val="en-US" w:eastAsia="en-GB"/>
        </w:rPr>
        <w:t xml:space="preserve">Number of persons who experienced a dispute during the past </w:t>
      </w:r>
      <w:r w:rsidR="00C61170" w:rsidRPr="007D1F99">
        <w:rPr>
          <w:rFonts w:eastAsia="Times New Roman"/>
          <w:color w:val="4A4A4A"/>
          <w:lang w:val="en-US" w:eastAsia="en-GB"/>
        </w:rPr>
        <w:t xml:space="preserve">two </w:t>
      </w:r>
      <w:r w:rsidRPr="007D1F99">
        <w:rPr>
          <w:rFonts w:eastAsia="Times New Roman"/>
          <w:color w:val="4A4A4A"/>
          <w:lang w:val="en-US" w:eastAsia="en-GB"/>
        </w:rPr>
        <w:t xml:space="preserve">years who accessed a </w:t>
      </w:r>
      <w:r w:rsidR="00C61170" w:rsidRPr="007D1F99">
        <w:rPr>
          <w:rFonts w:eastAsia="Times New Roman"/>
          <w:color w:val="4A4A4A"/>
          <w:lang w:val="en-US" w:eastAsia="en-GB"/>
        </w:rPr>
        <w:t>formal or informal</w:t>
      </w:r>
      <w:r w:rsidRPr="007D1F99">
        <w:rPr>
          <w:rFonts w:eastAsia="Times New Roman"/>
          <w:color w:val="4A4A4A"/>
          <w:lang w:val="en-US" w:eastAsia="en-GB"/>
        </w:rPr>
        <w:t xml:space="preserve"> dispute resolution mechanism (numerator), divided by the number of those who experienced a dispute in the past </w:t>
      </w:r>
      <w:r w:rsidR="00882642" w:rsidRPr="007D1F99">
        <w:rPr>
          <w:rFonts w:eastAsia="Times New Roman"/>
          <w:color w:val="4A4A4A"/>
          <w:lang w:val="en-US" w:eastAsia="en-GB"/>
        </w:rPr>
        <w:t>two</w:t>
      </w:r>
      <w:r w:rsidRPr="007D1F99">
        <w:rPr>
          <w:rFonts w:eastAsia="Times New Roman"/>
          <w:color w:val="4A4A4A"/>
          <w:lang w:val="en-US" w:eastAsia="en-GB"/>
        </w:rPr>
        <w:t xml:space="preserve"> years </w:t>
      </w:r>
      <w:r w:rsidR="00882642" w:rsidRPr="007D1F99">
        <w:rPr>
          <w:rFonts w:eastAsia="Times New Roman"/>
          <w:color w:val="4A4A4A"/>
          <w:lang w:val="en-US" w:eastAsia="en-GB"/>
        </w:rPr>
        <w:t xml:space="preserve">minus those who are voluntarily self-excluded </w:t>
      </w:r>
      <w:r w:rsidRPr="007D1F99">
        <w:rPr>
          <w:rFonts w:eastAsia="Times New Roman"/>
          <w:color w:val="4A4A4A"/>
          <w:lang w:val="en-US" w:eastAsia="en-GB"/>
        </w:rPr>
        <w:t>(denominator). The result would be multiplied by 100.</w:t>
      </w:r>
    </w:p>
    <w:p w14:paraId="7E641163" w14:textId="77777777" w:rsidR="002A6DCB" w:rsidRPr="007D1F99" w:rsidRDefault="002A6DCB" w:rsidP="002A6DCB">
      <w:pPr>
        <w:shd w:val="clear" w:color="auto" w:fill="FFFFFF"/>
        <w:spacing w:after="0"/>
        <w:rPr>
          <w:rFonts w:eastAsia="Times New Roman" w:cs="Times New Roman"/>
          <w:color w:val="4A4A4A"/>
          <w:lang w:val="en-US" w:eastAsia="en-GB"/>
        </w:rPr>
      </w:pPr>
    </w:p>
    <w:p w14:paraId="5FFBF082" w14:textId="19C3333C" w:rsidR="00416624" w:rsidRDefault="00202E1C" w:rsidP="00B54903">
      <w:pPr>
        <w:jc w:val="both"/>
        <w:rPr>
          <w:rFonts w:eastAsia="Times New Roman" w:cs="Times New Roman"/>
          <w:color w:val="4A4A4A"/>
          <w:lang w:eastAsia="en-GB"/>
        </w:rPr>
      </w:pPr>
      <w:r w:rsidRPr="009B3C65">
        <w:rPr>
          <w:rFonts w:cstheme="minorHAnsi"/>
          <w:color w:val="000000" w:themeColor="text1"/>
          <w:lang w:eastAsia="en-GB"/>
        </w:rPr>
        <w:t>This is a survey-based indicator that emphasizes citizens’ experiences over general perceptions.</w:t>
      </w:r>
      <w:r>
        <w:rPr>
          <w:rFonts w:cstheme="minorHAnsi"/>
          <w:color w:val="000000" w:themeColor="text1"/>
          <w:lang w:eastAsia="en-GB"/>
        </w:rPr>
        <w:t xml:space="preserve"> </w:t>
      </w:r>
      <w:r w:rsidR="00B54903" w:rsidRPr="007D1F99">
        <w:rPr>
          <w:rFonts w:eastAsia="Times New Roman" w:cs="Times New Roman"/>
          <w:color w:val="4A4A4A"/>
          <w:lang w:eastAsia="en-GB"/>
        </w:rPr>
        <w:t xml:space="preserve">Both </w:t>
      </w:r>
      <w:r w:rsidR="002A6DCB" w:rsidRPr="007D1F99">
        <w:rPr>
          <w:rFonts w:eastAsia="Times New Roman" w:cs="Times New Roman"/>
          <w:color w:val="4A4A4A"/>
          <w:lang w:eastAsia="en-GB"/>
        </w:rPr>
        <w:t xml:space="preserve">numerator and denominator </w:t>
      </w:r>
      <w:r w:rsidR="00B54903" w:rsidRPr="007D1F99">
        <w:rPr>
          <w:rFonts w:eastAsia="Times New Roman" w:cs="Times New Roman"/>
          <w:color w:val="4A4A4A"/>
          <w:lang w:eastAsia="en-GB"/>
        </w:rPr>
        <w:t>are measured through sample surveys of the general population</w:t>
      </w:r>
      <w:r w:rsidR="002A6DCB" w:rsidRPr="007D1F99">
        <w:rPr>
          <w:rFonts w:eastAsia="Times New Roman" w:cs="Times New Roman"/>
          <w:color w:val="4A4A4A"/>
          <w:lang w:eastAsia="en-GB"/>
        </w:rPr>
        <w:t>.</w:t>
      </w:r>
    </w:p>
    <w:p w14:paraId="00147B9B" w14:textId="797819A0" w:rsidR="005E2542" w:rsidRDefault="00BD2C3F" w:rsidP="005E2542">
      <w:pPr>
        <w:jc w:val="both"/>
      </w:pPr>
      <w:r>
        <w:rPr>
          <w:rFonts w:eastAsia="Times New Roman" w:cs="Times New Roman"/>
          <w:color w:val="4A4A4A"/>
          <w:lang w:eastAsia="en-GB"/>
        </w:rPr>
        <w:t xml:space="preserve">The </w:t>
      </w:r>
      <w:r w:rsidR="005E2542">
        <w:rPr>
          <w:rFonts w:eastAsia="Times New Roman" w:cs="Times New Roman"/>
          <w:color w:val="4A4A4A"/>
          <w:lang w:eastAsia="en-GB"/>
        </w:rPr>
        <w:t xml:space="preserve">computation of this indicator requires the inclusion of a short module of four questions in a representative population survey. </w:t>
      </w:r>
      <w:r w:rsidR="005E2542">
        <w:t xml:space="preserve">The following table illustrates the </w:t>
      </w:r>
      <w:r w:rsidR="005E2542" w:rsidRPr="00392395">
        <w:t>content of the four questions</w:t>
      </w:r>
      <w:r w:rsidR="005E2542">
        <w:t xml:space="preserve"> needed to compute the indicator.</w:t>
      </w:r>
    </w:p>
    <w:tbl>
      <w:tblPr>
        <w:tblStyle w:val="TableGrid"/>
        <w:tblW w:w="9209" w:type="dxa"/>
        <w:tblLook w:val="04A0" w:firstRow="1" w:lastRow="0" w:firstColumn="1" w:lastColumn="0" w:noHBand="0" w:noVBand="1"/>
      </w:tblPr>
      <w:tblGrid>
        <w:gridCol w:w="6232"/>
        <w:gridCol w:w="2977"/>
      </w:tblGrid>
      <w:tr w:rsidR="005E2542" w14:paraId="359B045D" w14:textId="77777777" w:rsidTr="002E2ACD">
        <w:tc>
          <w:tcPr>
            <w:tcW w:w="6232" w:type="dxa"/>
            <w:tcBorders>
              <w:bottom w:val="single" w:sz="4" w:space="0" w:color="000000"/>
            </w:tcBorders>
            <w:shd w:val="pct25" w:color="auto" w:fill="auto"/>
          </w:tcPr>
          <w:p w14:paraId="2CD6A2EE" w14:textId="77777777" w:rsidR="005E2542" w:rsidRPr="002E2ACD" w:rsidRDefault="005E2542" w:rsidP="00AE1980">
            <w:pPr>
              <w:jc w:val="center"/>
              <w:rPr>
                <w:b/>
                <w:bCs/>
                <w:sz w:val="22"/>
                <w:szCs w:val="22"/>
              </w:rPr>
            </w:pPr>
            <w:r w:rsidRPr="00844961">
              <w:rPr>
                <w:b/>
                <w:bCs/>
              </w:rPr>
              <w:t>Content of question</w:t>
            </w:r>
          </w:p>
        </w:tc>
        <w:tc>
          <w:tcPr>
            <w:tcW w:w="2977" w:type="dxa"/>
            <w:tcBorders>
              <w:bottom w:val="single" w:sz="4" w:space="0" w:color="000000"/>
            </w:tcBorders>
            <w:shd w:val="pct25" w:color="auto" w:fill="auto"/>
          </w:tcPr>
          <w:p w14:paraId="41355217" w14:textId="77777777" w:rsidR="005E2542" w:rsidRPr="002E2ACD" w:rsidRDefault="005E2542" w:rsidP="00AE1980">
            <w:pPr>
              <w:jc w:val="center"/>
              <w:rPr>
                <w:b/>
                <w:bCs/>
                <w:sz w:val="22"/>
                <w:szCs w:val="22"/>
              </w:rPr>
            </w:pPr>
            <w:r w:rsidRPr="00844961">
              <w:rPr>
                <w:b/>
                <w:bCs/>
              </w:rPr>
              <w:t>Instruction</w:t>
            </w:r>
          </w:p>
        </w:tc>
      </w:tr>
      <w:tr w:rsidR="005E2542" w14:paraId="1DCF2A52" w14:textId="77777777" w:rsidTr="002E2ACD">
        <w:tc>
          <w:tcPr>
            <w:tcW w:w="6232" w:type="dxa"/>
            <w:shd w:val="pct10" w:color="auto" w:fill="auto"/>
          </w:tcPr>
          <w:p w14:paraId="17032C9E" w14:textId="77777777" w:rsidR="005E2542" w:rsidRPr="002E2ACD" w:rsidRDefault="005E2542" w:rsidP="00AE1980">
            <w:pPr>
              <w:pStyle w:val="ListParagraph"/>
              <w:numPr>
                <w:ilvl w:val="0"/>
                <w:numId w:val="29"/>
              </w:numPr>
              <w:jc w:val="both"/>
              <w:rPr>
                <w:sz w:val="22"/>
                <w:szCs w:val="22"/>
              </w:rPr>
            </w:pPr>
            <w:r w:rsidRPr="00844961">
              <w:t>Experience of a dispute over past 2 years, by type of dispute</w:t>
            </w:r>
          </w:p>
        </w:tc>
        <w:tc>
          <w:tcPr>
            <w:tcW w:w="2977" w:type="dxa"/>
            <w:shd w:val="pct10" w:color="auto" w:fill="auto"/>
          </w:tcPr>
          <w:p w14:paraId="6FD37227" w14:textId="77777777" w:rsidR="005E2542" w:rsidRPr="002E2ACD" w:rsidRDefault="005E2542" w:rsidP="00AE1980">
            <w:pPr>
              <w:jc w:val="both"/>
              <w:rPr>
                <w:sz w:val="22"/>
                <w:szCs w:val="22"/>
              </w:rPr>
            </w:pPr>
            <w:r w:rsidRPr="00844961">
              <w:t>If no dispute was experienced, skip to END, otherwise go to 2.</w:t>
            </w:r>
          </w:p>
        </w:tc>
      </w:tr>
      <w:tr w:rsidR="005E2542" w14:paraId="393D0226" w14:textId="77777777" w:rsidTr="002E2ACD">
        <w:tc>
          <w:tcPr>
            <w:tcW w:w="6232" w:type="dxa"/>
            <w:shd w:val="pct10" w:color="auto" w:fill="auto"/>
          </w:tcPr>
          <w:p w14:paraId="2F9751D9" w14:textId="77777777" w:rsidR="005E2542" w:rsidRPr="002E2ACD" w:rsidRDefault="005E2542" w:rsidP="00AE1980">
            <w:pPr>
              <w:pStyle w:val="ListParagraph"/>
              <w:numPr>
                <w:ilvl w:val="0"/>
                <w:numId w:val="29"/>
              </w:numPr>
              <w:jc w:val="both"/>
              <w:rPr>
                <w:sz w:val="22"/>
                <w:szCs w:val="22"/>
              </w:rPr>
            </w:pPr>
            <w:r w:rsidRPr="00844961">
              <w:t>Most recent dispute experienced, by type of dispute</w:t>
            </w:r>
          </w:p>
        </w:tc>
        <w:tc>
          <w:tcPr>
            <w:tcW w:w="2977" w:type="dxa"/>
            <w:shd w:val="pct10" w:color="auto" w:fill="auto"/>
          </w:tcPr>
          <w:p w14:paraId="5B2BC54D" w14:textId="77777777" w:rsidR="005E2542" w:rsidRPr="002E2ACD" w:rsidRDefault="005E2542" w:rsidP="00AE1980">
            <w:pPr>
              <w:jc w:val="both"/>
              <w:rPr>
                <w:sz w:val="22"/>
                <w:szCs w:val="22"/>
              </w:rPr>
            </w:pPr>
            <w:r w:rsidRPr="00844961">
              <w:t>Continue with 3.</w:t>
            </w:r>
          </w:p>
        </w:tc>
      </w:tr>
      <w:tr w:rsidR="005E2542" w14:paraId="662047D4" w14:textId="77777777" w:rsidTr="002E2ACD">
        <w:tc>
          <w:tcPr>
            <w:tcW w:w="6232" w:type="dxa"/>
            <w:shd w:val="pct10" w:color="auto" w:fill="auto"/>
          </w:tcPr>
          <w:p w14:paraId="74884A36" w14:textId="77777777" w:rsidR="005E2542" w:rsidRPr="002E2ACD" w:rsidRDefault="005E2542" w:rsidP="00AE1980">
            <w:pPr>
              <w:pStyle w:val="ListParagraph"/>
              <w:numPr>
                <w:ilvl w:val="0"/>
                <w:numId w:val="29"/>
              </w:numPr>
              <w:jc w:val="both"/>
              <w:rPr>
                <w:sz w:val="22"/>
                <w:szCs w:val="22"/>
              </w:rPr>
            </w:pPr>
            <w:r w:rsidRPr="00844961">
              <w:t>Access to dispute resolution mechanism, by type of mechanism</w:t>
            </w:r>
          </w:p>
        </w:tc>
        <w:tc>
          <w:tcPr>
            <w:tcW w:w="2977" w:type="dxa"/>
            <w:shd w:val="pct10" w:color="auto" w:fill="auto"/>
          </w:tcPr>
          <w:p w14:paraId="2B93F4BA" w14:textId="2CBF3EFB" w:rsidR="005E2542" w:rsidRPr="002E2ACD" w:rsidRDefault="005E2542" w:rsidP="00AE1980">
            <w:pPr>
              <w:jc w:val="both"/>
              <w:rPr>
                <w:sz w:val="22"/>
                <w:szCs w:val="22"/>
              </w:rPr>
            </w:pPr>
            <w:r w:rsidRPr="00844961">
              <w:t xml:space="preserve">If no </w:t>
            </w:r>
            <w:r w:rsidR="005D3354" w:rsidRPr="00844961">
              <w:t>DRM</w:t>
            </w:r>
            <w:r w:rsidRPr="00844961">
              <w:t xml:space="preserve"> was accessed go to 4., otherwise skip to END</w:t>
            </w:r>
          </w:p>
        </w:tc>
      </w:tr>
      <w:tr w:rsidR="005E2542" w14:paraId="5179DC54" w14:textId="77777777" w:rsidTr="002E2ACD">
        <w:tc>
          <w:tcPr>
            <w:tcW w:w="6232" w:type="dxa"/>
            <w:shd w:val="pct10" w:color="auto" w:fill="auto"/>
          </w:tcPr>
          <w:p w14:paraId="7F707C0F" w14:textId="77777777" w:rsidR="005E2542" w:rsidRPr="002E2ACD" w:rsidRDefault="005E2542" w:rsidP="00AE1980">
            <w:pPr>
              <w:pStyle w:val="ListParagraph"/>
              <w:numPr>
                <w:ilvl w:val="0"/>
                <w:numId w:val="29"/>
              </w:numPr>
              <w:jc w:val="both"/>
              <w:rPr>
                <w:sz w:val="22"/>
                <w:szCs w:val="22"/>
              </w:rPr>
            </w:pPr>
            <w:r w:rsidRPr="00844961">
              <w:t>Reason why no dispute resolution mechanism was accessed</w:t>
            </w:r>
          </w:p>
        </w:tc>
        <w:tc>
          <w:tcPr>
            <w:tcW w:w="2977" w:type="dxa"/>
            <w:shd w:val="pct10" w:color="auto" w:fill="auto"/>
          </w:tcPr>
          <w:p w14:paraId="195448CF" w14:textId="77777777" w:rsidR="005E2542" w:rsidRPr="002E2ACD" w:rsidRDefault="005E2542" w:rsidP="00AE1980">
            <w:pPr>
              <w:jc w:val="both"/>
              <w:rPr>
                <w:sz w:val="22"/>
                <w:szCs w:val="22"/>
              </w:rPr>
            </w:pPr>
            <w:r w:rsidRPr="00844961">
              <w:t>Go to END.</w:t>
            </w:r>
          </w:p>
        </w:tc>
      </w:tr>
    </w:tbl>
    <w:p w14:paraId="0FCD6074" w14:textId="77777777" w:rsidR="005E2542" w:rsidRPr="007D1F99" w:rsidRDefault="005E2542" w:rsidP="00B54903">
      <w:pPr>
        <w:jc w:val="both"/>
      </w:pPr>
    </w:p>
    <w:p w14:paraId="5F469AA5" w14:textId="77777777" w:rsidR="008C534C" w:rsidRPr="007D1F99" w:rsidRDefault="008C534C" w:rsidP="00E57201">
      <w:pPr>
        <w:jc w:val="both"/>
        <w:rPr>
          <w:b/>
          <w:bCs/>
        </w:rPr>
      </w:pPr>
      <w:r w:rsidRPr="007D1F99">
        <w:rPr>
          <w:b/>
          <w:bCs/>
        </w:rPr>
        <w:t>Disaggregation:</w:t>
      </w:r>
    </w:p>
    <w:p w14:paraId="6056B4BB" w14:textId="0F7C1254" w:rsidR="0013335C" w:rsidRPr="007D1F99" w:rsidRDefault="00562FB7" w:rsidP="005D3354">
      <w:pPr>
        <w:shd w:val="clear" w:color="auto" w:fill="FFFFFF"/>
        <w:spacing w:after="0"/>
        <w:rPr>
          <w:rFonts w:eastAsia="Times New Roman" w:cs="Times New Roman"/>
          <w:color w:val="4A4A4A"/>
          <w:lang w:eastAsia="en-GB"/>
        </w:rPr>
      </w:pPr>
      <w:r w:rsidRPr="007D1F99">
        <w:rPr>
          <w:rFonts w:eastAsia="Times New Roman" w:cs="Times New Roman"/>
          <w:color w:val="4A4A4A"/>
          <w:lang w:eastAsia="en-GB"/>
        </w:rPr>
        <w:t xml:space="preserve">Recommended </w:t>
      </w:r>
      <w:proofErr w:type="spellStart"/>
      <w:r w:rsidRPr="007D1F99">
        <w:rPr>
          <w:rFonts w:eastAsia="Times New Roman" w:cs="Times New Roman"/>
          <w:color w:val="4A4A4A"/>
          <w:lang w:eastAsia="en-GB"/>
        </w:rPr>
        <w:t>disaggregations</w:t>
      </w:r>
      <w:proofErr w:type="spellEnd"/>
      <w:r w:rsidRPr="007D1F99">
        <w:rPr>
          <w:rFonts w:eastAsia="Times New Roman" w:cs="Times New Roman"/>
          <w:color w:val="4A4A4A"/>
          <w:lang w:eastAsia="en-GB"/>
        </w:rPr>
        <w:t xml:space="preserve"> for this indicator are:</w:t>
      </w:r>
    </w:p>
    <w:p w14:paraId="79605753" w14:textId="54C9B9F9" w:rsidR="00562FB7" w:rsidRPr="007D1F99" w:rsidRDefault="00562FB7" w:rsidP="00562FB7">
      <w:pPr>
        <w:shd w:val="clear" w:color="auto" w:fill="FFFFFF"/>
        <w:spacing w:after="0"/>
        <w:rPr>
          <w:rFonts w:eastAsia="Times New Roman" w:cs="Times New Roman"/>
          <w:color w:val="4A4A4A"/>
          <w:lang w:eastAsia="en-GB"/>
        </w:rPr>
      </w:pPr>
      <w:r w:rsidRPr="007D1F99">
        <w:rPr>
          <w:rFonts w:eastAsia="Times New Roman" w:cs="Times New Roman"/>
          <w:color w:val="4A4A4A"/>
          <w:lang w:eastAsia="en-GB"/>
        </w:rPr>
        <w:t>- type of dispute</w:t>
      </w:r>
      <w:r w:rsidR="00882642" w:rsidRPr="007D1F99">
        <w:rPr>
          <w:rFonts w:eastAsia="Times New Roman" w:cs="Times New Roman"/>
          <w:color w:val="4A4A4A"/>
          <w:lang w:eastAsia="en-GB"/>
        </w:rPr>
        <w:t xml:space="preserve"> resolution mechanism</w:t>
      </w:r>
    </w:p>
    <w:p w14:paraId="000312DA" w14:textId="77777777" w:rsidR="00F53280" w:rsidRPr="007D1F99" w:rsidRDefault="00F53280" w:rsidP="00562FB7">
      <w:pPr>
        <w:shd w:val="clear" w:color="auto" w:fill="FFFFFF"/>
        <w:spacing w:after="0"/>
        <w:rPr>
          <w:rFonts w:eastAsia="Times New Roman" w:cs="Times New Roman"/>
          <w:color w:val="4A4A4A"/>
          <w:lang w:eastAsia="en-GB"/>
        </w:rPr>
      </w:pPr>
      <w:r w:rsidRPr="007D1F99">
        <w:rPr>
          <w:rFonts w:eastAsia="Times New Roman" w:cs="Times New Roman"/>
          <w:color w:val="4A4A4A"/>
          <w:lang w:eastAsia="en-GB"/>
        </w:rPr>
        <w:t>- sex</w:t>
      </w:r>
    </w:p>
    <w:p w14:paraId="10F6E6E0" w14:textId="77777777" w:rsidR="00F53280" w:rsidRPr="007D1F99" w:rsidRDefault="00F53280" w:rsidP="00562FB7">
      <w:pPr>
        <w:shd w:val="clear" w:color="auto" w:fill="FFFFFF"/>
        <w:spacing w:after="0"/>
        <w:rPr>
          <w:rFonts w:eastAsia="Times New Roman" w:cs="Times New Roman"/>
          <w:color w:val="4A4A4A"/>
          <w:lang w:eastAsia="en-GB"/>
        </w:rPr>
      </w:pPr>
      <w:r w:rsidRPr="007D1F99">
        <w:rPr>
          <w:rFonts w:eastAsia="Times New Roman" w:cs="Times New Roman"/>
          <w:color w:val="4A4A4A"/>
          <w:lang w:eastAsia="en-GB"/>
        </w:rPr>
        <w:t>- disability status</w:t>
      </w:r>
    </w:p>
    <w:p w14:paraId="6B03E342" w14:textId="77777777" w:rsidR="00562FB7" w:rsidRPr="007D1F99" w:rsidRDefault="00562FB7" w:rsidP="00562FB7">
      <w:pPr>
        <w:shd w:val="clear" w:color="auto" w:fill="FFFFFF"/>
        <w:spacing w:after="0"/>
        <w:rPr>
          <w:rFonts w:eastAsia="Times New Roman" w:cs="Times New Roman"/>
          <w:color w:val="4A4A4A"/>
          <w:lang w:eastAsia="en-GB"/>
        </w:rPr>
      </w:pPr>
      <w:r w:rsidRPr="007D1F99">
        <w:rPr>
          <w:rFonts w:eastAsia="Times New Roman" w:cs="Times New Roman"/>
          <w:color w:val="4A4A4A"/>
          <w:lang w:eastAsia="en-GB"/>
        </w:rPr>
        <w:t>- ethnicity</w:t>
      </w:r>
    </w:p>
    <w:p w14:paraId="0F32585F" w14:textId="77777777" w:rsidR="00562FB7" w:rsidRPr="007D1F99" w:rsidRDefault="00562FB7" w:rsidP="00562FB7">
      <w:pPr>
        <w:shd w:val="clear" w:color="auto" w:fill="FFFFFF"/>
        <w:spacing w:after="0"/>
        <w:rPr>
          <w:rFonts w:eastAsia="Times New Roman" w:cs="Times New Roman"/>
          <w:color w:val="4A4A4A"/>
          <w:lang w:eastAsia="en-GB"/>
        </w:rPr>
      </w:pPr>
      <w:r w:rsidRPr="007D1F99">
        <w:rPr>
          <w:rFonts w:eastAsia="Times New Roman" w:cs="Times New Roman"/>
          <w:color w:val="4A4A4A"/>
          <w:lang w:eastAsia="en-GB"/>
        </w:rPr>
        <w:t>- migration background</w:t>
      </w:r>
    </w:p>
    <w:p w14:paraId="1974FA46" w14:textId="77777777" w:rsidR="00416624" w:rsidRPr="007D1F99" w:rsidRDefault="00562FB7" w:rsidP="00562FB7">
      <w:pPr>
        <w:jc w:val="both"/>
      </w:pPr>
      <w:r w:rsidRPr="007D1F99">
        <w:rPr>
          <w:rFonts w:eastAsia="Times New Roman" w:cs="Times New Roman"/>
          <w:color w:val="4A4A4A"/>
          <w:lang w:eastAsia="en-GB"/>
        </w:rPr>
        <w:t>- citizenship</w:t>
      </w:r>
    </w:p>
    <w:p w14:paraId="37B20707" w14:textId="06DCB47C" w:rsidR="00D0501F" w:rsidRPr="007D1F99" w:rsidRDefault="00D0501F" w:rsidP="00E57201">
      <w:pPr>
        <w:jc w:val="both"/>
      </w:pPr>
      <w:r w:rsidRPr="007D1F99">
        <w:t>The disaggregation by type of dispute resolution mechanism is of fundamental importance to assess the type of justice institutions and mechanisms available for citizens and for this reason it is part of the indicator itself.</w:t>
      </w:r>
    </w:p>
    <w:p w14:paraId="43C468D7" w14:textId="23935A35" w:rsidR="008C534C" w:rsidRPr="007D1F99" w:rsidRDefault="008C534C" w:rsidP="00E57201">
      <w:pPr>
        <w:jc w:val="both"/>
        <w:rPr>
          <w:b/>
          <w:bCs/>
        </w:rPr>
      </w:pPr>
      <w:r w:rsidRPr="007D1F99">
        <w:rPr>
          <w:b/>
          <w:bCs/>
        </w:rPr>
        <w:t>Treatment of missing values</w:t>
      </w:r>
    </w:p>
    <w:p w14:paraId="60F6DD04" w14:textId="77777777" w:rsidR="00416624" w:rsidRPr="007D1F99" w:rsidRDefault="00D0501F" w:rsidP="00E57201">
      <w:pPr>
        <w:jc w:val="both"/>
      </w:pPr>
      <w:r w:rsidRPr="007D1F99">
        <w:t>National data are not estimated if data derived from surveys conducted at country level are not available</w:t>
      </w:r>
    </w:p>
    <w:p w14:paraId="7989C548" w14:textId="77777777" w:rsidR="008C534C" w:rsidRPr="007D1F99" w:rsidRDefault="008C534C" w:rsidP="00E57201">
      <w:pPr>
        <w:jc w:val="both"/>
        <w:rPr>
          <w:b/>
          <w:bCs/>
        </w:rPr>
      </w:pPr>
      <w:r w:rsidRPr="007D1F99">
        <w:rPr>
          <w:b/>
          <w:bCs/>
        </w:rPr>
        <w:t>Regional aggregates</w:t>
      </w:r>
    </w:p>
    <w:p w14:paraId="35624B66" w14:textId="7603280A" w:rsidR="00416624" w:rsidRPr="007D1F99" w:rsidRDefault="00D0501F" w:rsidP="00E57201">
      <w:pPr>
        <w:jc w:val="both"/>
      </w:pPr>
      <w:r w:rsidRPr="007D1F99">
        <w:t xml:space="preserve">Regional aggregates are produced only when </w:t>
      </w:r>
      <w:r w:rsidR="00286D8D" w:rsidRPr="007D1F99">
        <w:t xml:space="preserve">available data cover </w:t>
      </w:r>
      <w:r w:rsidRPr="007D1F99">
        <w:t>a</w:t>
      </w:r>
      <w:r w:rsidR="00286D8D" w:rsidRPr="007D1F99">
        <w:t>t least a</w:t>
      </w:r>
      <w:r w:rsidRPr="007D1F99">
        <w:t xml:space="preserve"> </w:t>
      </w:r>
      <w:r w:rsidR="00286D8D" w:rsidRPr="007D1F99">
        <w:t xml:space="preserve">certain percentage </w:t>
      </w:r>
      <w:r w:rsidRPr="007D1F99">
        <w:t xml:space="preserve">of countries </w:t>
      </w:r>
      <w:r w:rsidR="00286D8D" w:rsidRPr="007D1F99">
        <w:t>of the region and the population of these countries account for a certain percentage of the regional population</w:t>
      </w:r>
      <w:r w:rsidRPr="007D1F99">
        <w:t>.</w:t>
      </w:r>
    </w:p>
    <w:p w14:paraId="16F365CB" w14:textId="77777777" w:rsidR="008C534C" w:rsidRPr="007D1F99" w:rsidRDefault="008C534C" w:rsidP="00E57201">
      <w:pPr>
        <w:jc w:val="both"/>
        <w:rPr>
          <w:b/>
          <w:bCs/>
        </w:rPr>
      </w:pPr>
      <w:r w:rsidRPr="007D1F99">
        <w:rPr>
          <w:b/>
          <w:bCs/>
        </w:rPr>
        <w:t>Sources of discrepancies</w:t>
      </w:r>
    </w:p>
    <w:p w14:paraId="1294D924" w14:textId="25D7D617" w:rsidR="00416624" w:rsidRPr="007D1F99" w:rsidRDefault="0013335C" w:rsidP="00E57201">
      <w:pPr>
        <w:jc w:val="both"/>
        <w:rPr>
          <w:rFonts w:ascii="Calibri" w:hAnsi="Calibri" w:cs="Calibri"/>
          <w:color w:val="000000" w:themeColor="text1"/>
          <w:lang w:eastAsia="en-GB"/>
        </w:rPr>
      </w:pPr>
      <w:r w:rsidRPr="007D1F99">
        <w:rPr>
          <w:rFonts w:ascii="Calibri" w:hAnsi="Calibri" w:cs="Calibri"/>
          <w:color w:val="000000" w:themeColor="text1"/>
          <w:lang w:eastAsia="en-GB"/>
        </w:rPr>
        <w:t xml:space="preserve">Data for this indicator are based on </w:t>
      </w:r>
      <w:r w:rsidR="006D2BB3" w:rsidRPr="007D1F99">
        <w:rPr>
          <w:rFonts w:ascii="Calibri" w:hAnsi="Calibri" w:cs="Calibri"/>
          <w:color w:val="000000" w:themeColor="text1"/>
          <w:lang w:eastAsia="en-GB"/>
        </w:rPr>
        <w:t xml:space="preserve">four </w:t>
      </w:r>
      <w:r w:rsidRPr="007D1F99">
        <w:rPr>
          <w:rFonts w:ascii="Calibri" w:hAnsi="Calibri" w:cs="Calibri"/>
          <w:color w:val="000000" w:themeColor="text1"/>
          <w:lang w:eastAsia="en-GB"/>
        </w:rPr>
        <w:t>standardised survey questions. If data from more than one survey are available for the same country, discrepancies may be due to different wording of the questions, different structure of the questionnaire, different su</w:t>
      </w:r>
      <w:r w:rsidR="006B28A1" w:rsidRPr="007D1F99">
        <w:rPr>
          <w:rFonts w:ascii="Calibri" w:hAnsi="Calibri" w:cs="Calibri"/>
          <w:color w:val="000000" w:themeColor="text1"/>
          <w:lang w:eastAsia="en-GB"/>
        </w:rPr>
        <w:t xml:space="preserve">rvey methods and operations, different sample design and sample size. </w:t>
      </w:r>
      <w:r w:rsidR="00F53280" w:rsidRPr="007D1F99">
        <w:rPr>
          <w:rFonts w:ascii="Calibri" w:hAnsi="Calibri" w:cs="Calibri"/>
          <w:color w:val="000000" w:themeColor="text1"/>
          <w:lang w:eastAsia="en-GB"/>
        </w:rPr>
        <w:t xml:space="preserve">As a rule, data from national surveys </w:t>
      </w:r>
      <w:r w:rsidR="006B28A1" w:rsidRPr="007D1F99">
        <w:rPr>
          <w:rFonts w:ascii="Calibri" w:hAnsi="Calibri" w:cs="Calibri"/>
          <w:color w:val="000000" w:themeColor="text1"/>
          <w:lang w:eastAsia="en-GB"/>
        </w:rPr>
        <w:t xml:space="preserve">complying with recommended standards </w:t>
      </w:r>
      <w:r w:rsidR="00F53280" w:rsidRPr="007D1F99">
        <w:rPr>
          <w:rFonts w:ascii="Calibri" w:hAnsi="Calibri" w:cs="Calibri"/>
          <w:color w:val="000000" w:themeColor="text1"/>
          <w:lang w:eastAsia="en-GB"/>
        </w:rPr>
        <w:t>are used, when available.</w:t>
      </w:r>
    </w:p>
    <w:p w14:paraId="735AFCFC" w14:textId="77777777" w:rsidR="008C534C" w:rsidRPr="007D1F99" w:rsidRDefault="008C534C" w:rsidP="00E57201">
      <w:pPr>
        <w:jc w:val="both"/>
        <w:rPr>
          <w:rFonts w:ascii="Calibri" w:hAnsi="Calibri" w:cs="Calibri"/>
          <w:b/>
          <w:bCs/>
          <w:color w:val="000000" w:themeColor="text1"/>
          <w:lang w:eastAsia="en-GB"/>
        </w:rPr>
      </w:pPr>
      <w:r w:rsidRPr="007D1F99">
        <w:rPr>
          <w:rFonts w:ascii="Calibri" w:hAnsi="Calibri" w:cs="Calibri"/>
          <w:b/>
          <w:bCs/>
          <w:color w:val="000000" w:themeColor="text1"/>
          <w:lang w:eastAsia="en-GB"/>
        </w:rPr>
        <w:t>Methods and guidance available to countries for the compilation of data at national level</w:t>
      </w:r>
    </w:p>
    <w:p w14:paraId="04A8579F" w14:textId="7AD3F421" w:rsidR="006B28A1" w:rsidRPr="007D1F99" w:rsidRDefault="006B28A1" w:rsidP="007D1F99">
      <w:pPr>
        <w:rPr>
          <w:b/>
        </w:rPr>
      </w:pPr>
      <w:r w:rsidRPr="007D1F99">
        <w:t>Methodological documentation from surveys conducted at national level is available (e.g. household survey in Nigeria</w:t>
      </w:r>
      <w:r w:rsidR="00202E1C">
        <w:t xml:space="preserve"> conducted by the</w:t>
      </w:r>
      <w:r w:rsidRPr="007D1F99">
        <w:t xml:space="preserve"> </w:t>
      </w:r>
      <w:r w:rsidR="00202E1C">
        <w:t>National</w:t>
      </w:r>
      <w:r w:rsidR="00202E1C" w:rsidRPr="007D1F99">
        <w:t xml:space="preserve"> </w:t>
      </w:r>
      <w:r w:rsidRPr="007D1F99">
        <w:t>Bureau of Statistics</w:t>
      </w:r>
      <w:r w:rsidR="00202E1C">
        <w:t xml:space="preserve"> (NBS)</w:t>
      </w:r>
      <w:r w:rsidRPr="007D1F99">
        <w:t xml:space="preserve"> and UNODC</w:t>
      </w:r>
      <w:r w:rsidR="00202E1C">
        <w:t>;</w:t>
      </w:r>
      <w:r w:rsidR="007D1F99" w:rsidRPr="007D1F99">
        <w:t xml:space="preserve"> </w:t>
      </w:r>
      <w:r w:rsidR="0053583A">
        <w:t xml:space="preserve">Governance, </w:t>
      </w:r>
      <w:r w:rsidR="0053583A">
        <w:lastRenderedPageBreak/>
        <w:t xml:space="preserve">Public Safety and Justice Survey conducted by Statistics South Africa in 2019, </w:t>
      </w:r>
      <w:r w:rsidR="007D1F99" w:rsidRPr="007D1F99">
        <w:t>Kenya Integrated Household Budget Survey 2015-2016 conducted by KNBS</w:t>
      </w:r>
      <w:r w:rsidR="00E63AE7">
        <w:t>;</w:t>
      </w:r>
      <w:r w:rsidR="007D1F99" w:rsidRPr="007D1F99">
        <w:t xml:space="preserve"> Argentina - Unmet Legal Needs and Access to Justice conducted by the </w:t>
      </w:r>
      <w:proofErr w:type="spellStart"/>
      <w:r w:rsidR="007D1F99" w:rsidRPr="007D1F99">
        <w:t>Subsecretaría</w:t>
      </w:r>
      <w:proofErr w:type="spellEnd"/>
      <w:r w:rsidR="007D1F99" w:rsidRPr="007D1F99">
        <w:t xml:space="preserve"> de </w:t>
      </w:r>
      <w:proofErr w:type="spellStart"/>
      <w:r w:rsidR="007D1F99" w:rsidRPr="007D1F99">
        <w:t>Ac</w:t>
      </w:r>
      <w:r w:rsidR="006D4C95">
        <w:t>c</w:t>
      </w:r>
      <w:r w:rsidR="007D1F99" w:rsidRPr="007D1F99">
        <w:t>eso</w:t>
      </w:r>
      <w:proofErr w:type="spellEnd"/>
      <w:r w:rsidR="007D1F99" w:rsidRPr="007D1F99">
        <w:t xml:space="preserve"> a la Justicia </w:t>
      </w:r>
      <w:proofErr w:type="spellStart"/>
      <w:r w:rsidR="007D1F99" w:rsidRPr="007D1F99">
        <w:t>Ministerio</w:t>
      </w:r>
      <w:proofErr w:type="spellEnd"/>
      <w:r w:rsidR="007D1F99" w:rsidRPr="007D1F99">
        <w:t xml:space="preserve"> de Justicia y </w:t>
      </w:r>
      <w:proofErr w:type="spellStart"/>
      <w:r w:rsidR="007D1F99" w:rsidRPr="007D1F99">
        <w:t>Derechos</w:t>
      </w:r>
      <w:proofErr w:type="spellEnd"/>
      <w:r w:rsidR="007D1F99" w:rsidRPr="007D1F99">
        <w:t xml:space="preserve"> Humanos</w:t>
      </w:r>
      <w:r w:rsidR="00E63AE7">
        <w:t>;</w:t>
      </w:r>
      <w:r w:rsidR="007D1F99" w:rsidRPr="007D1F99">
        <w:t xml:space="preserve"> or Colombia - National Quality of Life Survey conducted by </w:t>
      </w:r>
      <w:r w:rsidR="00E63AE7">
        <w:t>DANE</w:t>
      </w:r>
      <w:r w:rsidRPr="007D1F99">
        <w:t xml:space="preserve">). </w:t>
      </w:r>
    </w:p>
    <w:p w14:paraId="49361CD8" w14:textId="1380B733" w:rsidR="00416624" w:rsidRPr="007D1F99" w:rsidRDefault="006B28A1" w:rsidP="00E57201">
      <w:pPr>
        <w:jc w:val="both"/>
        <w:rPr>
          <w:rFonts w:ascii="Calibri" w:hAnsi="Calibri" w:cs="Calibri"/>
          <w:color w:val="000000" w:themeColor="text1"/>
          <w:lang w:eastAsia="en-GB"/>
        </w:rPr>
      </w:pPr>
      <w:r w:rsidRPr="007D1F99">
        <w:t xml:space="preserve">Furthermore, the </w:t>
      </w:r>
      <w:r w:rsidRPr="007D1F99">
        <w:rPr>
          <w:rFonts w:cstheme="minorHAnsi"/>
          <w:i/>
          <w:iCs/>
        </w:rPr>
        <w:t>Legal Needs Surveys and Access to Justice</w:t>
      </w:r>
      <w:r w:rsidRPr="007D1F99">
        <w:rPr>
          <w:rFonts w:cstheme="minorHAnsi"/>
          <w:iCs/>
        </w:rPr>
        <w:t xml:space="preserve"> methodological guidance</w:t>
      </w:r>
      <w:r w:rsidRPr="007D1F99">
        <w:t xml:space="preserve"> published by OECD</w:t>
      </w:r>
      <w:r w:rsidR="005454AB">
        <w:t xml:space="preserve"> </w:t>
      </w:r>
      <w:r w:rsidRPr="007D1F99">
        <w:t xml:space="preserve">in 2019 provides </w:t>
      </w:r>
      <w:r w:rsidRPr="007D1F99">
        <w:rPr>
          <w:rFonts w:cstheme="minorHAnsi"/>
        </w:rPr>
        <w:t>methodological guidance for developing the questionnaires and conducting such surveys.</w:t>
      </w:r>
      <w:r w:rsidRPr="007D1F99">
        <w:rPr>
          <w:rFonts w:cstheme="minorHAnsi"/>
          <w:i/>
          <w:iCs/>
        </w:rPr>
        <w:t xml:space="preserve"> </w:t>
      </w:r>
      <w:r w:rsidRPr="007D1F99">
        <w:rPr>
          <w:rFonts w:cstheme="minorHAnsi"/>
        </w:rPr>
        <w:t>This guide brings together the experience gained through more than 60 national surveys conducted by governments and civil society organizations in more than 30 jurisdictions in the last 25 years.</w:t>
      </w:r>
    </w:p>
    <w:p w14:paraId="3BFD5925" w14:textId="77777777" w:rsidR="008C534C" w:rsidRPr="007D1F99" w:rsidRDefault="008C534C" w:rsidP="00E57201">
      <w:pPr>
        <w:jc w:val="both"/>
        <w:rPr>
          <w:rFonts w:ascii="Calibri" w:hAnsi="Calibri" w:cs="Calibri"/>
          <w:b/>
          <w:bCs/>
          <w:color w:val="000000" w:themeColor="text1"/>
          <w:lang w:eastAsia="en-GB"/>
        </w:rPr>
      </w:pPr>
      <w:r w:rsidRPr="007D1F99">
        <w:rPr>
          <w:rFonts w:ascii="Calibri" w:hAnsi="Calibri" w:cs="Calibri"/>
          <w:b/>
          <w:bCs/>
          <w:color w:val="000000" w:themeColor="text1"/>
          <w:lang w:eastAsia="en-GB"/>
        </w:rPr>
        <w:t>Quality assurance</w:t>
      </w:r>
    </w:p>
    <w:p w14:paraId="0151AFA5" w14:textId="2B0164BD" w:rsidR="00881E7B" w:rsidRPr="007D1F99" w:rsidRDefault="00F027D3" w:rsidP="00E57201">
      <w:pPr>
        <w:jc w:val="both"/>
        <w:rPr>
          <w:rFonts w:ascii="Calibri" w:hAnsi="Calibri" w:cs="Calibri"/>
          <w:color w:val="000000" w:themeColor="text1"/>
          <w:lang w:eastAsia="en-GB"/>
        </w:rPr>
      </w:pPr>
      <w:r w:rsidRPr="007D1F99">
        <w:rPr>
          <w:rFonts w:ascii="Calibri" w:hAnsi="Calibri" w:cs="Calibri"/>
          <w:color w:val="000000" w:themeColor="text1"/>
          <w:lang w:eastAsia="en-GB"/>
        </w:rPr>
        <w:t xml:space="preserve">At UNODC, </w:t>
      </w:r>
      <w:r w:rsidR="003255C3" w:rsidRPr="007D1F99">
        <w:rPr>
          <w:rFonts w:ascii="Calibri" w:hAnsi="Calibri" w:cs="Calibri"/>
          <w:color w:val="000000" w:themeColor="text1"/>
          <w:lang w:eastAsia="en-GB"/>
        </w:rPr>
        <w:t xml:space="preserve">quality assurance measures are in place to </w:t>
      </w:r>
      <w:r w:rsidR="007D1F99" w:rsidRPr="007D1F99">
        <w:rPr>
          <w:rFonts w:ascii="Calibri" w:hAnsi="Calibri" w:cs="Calibri"/>
          <w:color w:val="000000" w:themeColor="text1"/>
          <w:lang w:eastAsia="en-GB"/>
        </w:rPr>
        <w:t>collect</w:t>
      </w:r>
      <w:r w:rsidR="007D1F99">
        <w:rPr>
          <w:rFonts w:ascii="Calibri" w:hAnsi="Calibri" w:cs="Calibri"/>
          <w:color w:val="000000" w:themeColor="text1"/>
          <w:lang w:eastAsia="en-GB"/>
        </w:rPr>
        <w:t>,</w:t>
      </w:r>
      <w:r w:rsidR="003255C3" w:rsidRPr="007D1F99">
        <w:rPr>
          <w:rFonts w:ascii="Calibri" w:hAnsi="Calibri" w:cs="Calibri"/>
          <w:color w:val="000000" w:themeColor="text1"/>
          <w:lang w:eastAsia="en-GB"/>
        </w:rPr>
        <w:t xml:space="preserve"> process</w:t>
      </w:r>
      <w:r w:rsidR="007D1F99">
        <w:rPr>
          <w:rFonts w:ascii="Calibri" w:hAnsi="Calibri" w:cs="Calibri"/>
          <w:color w:val="000000" w:themeColor="text1"/>
          <w:lang w:eastAsia="en-GB"/>
        </w:rPr>
        <w:t>,</w:t>
      </w:r>
      <w:r w:rsidR="003255C3" w:rsidRPr="007D1F99">
        <w:rPr>
          <w:rFonts w:ascii="Calibri" w:hAnsi="Calibri" w:cs="Calibri"/>
          <w:color w:val="000000" w:themeColor="text1"/>
          <w:lang w:eastAsia="en-GB"/>
        </w:rPr>
        <w:t xml:space="preserve"> and disseminate statistical data.</w:t>
      </w:r>
      <w:r w:rsidR="00A9651C" w:rsidRPr="007D1F99">
        <w:rPr>
          <w:rFonts w:ascii="Calibri" w:hAnsi="Calibri" w:cs="Calibri"/>
          <w:color w:val="000000" w:themeColor="text1"/>
          <w:lang w:eastAsia="en-GB"/>
        </w:rPr>
        <w:t xml:space="preserve"> They build on the ‘</w:t>
      </w:r>
      <w:r w:rsidR="00A9651C" w:rsidRPr="007D1F99">
        <w:t>Principles governing international statistical activities’ and regulate the collection, processing, publication and dissemination of data.</w:t>
      </w:r>
    </w:p>
    <w:p w14:paraId="4B51ADAD" w14:textId="4C00EE34" w:rsidR="00640051" w:rsidRPr="00F027D3" w:rsidRDefault="00640051" w:rsidP="005E3E42">
      <w:pPr>
        <w:jc w:val="both"/>
        <w:rPr>
          <w:rFonts w:ascii="Calibri" w:hAnsi="Calibri" w:cs="Calibri"/>
          <w:color w:val="000000" w:themeColor="text1"/>
          <w:sz w:val="21"/>
          <w:szCs w:val="21"/>
          <w:lang w:eastAsia="en-GB"/>
        </w:rPr>
      </w:pPr>
      <w:r w:rsidRPr="007D1F99">
        <w:rPr>
          <w:rFonts w:ascii="Calibri" w:hAnsi="Calibri" w:cs="Calibri"/>
          <w:color w:val="000000" w:themeColor="text1"/>
          <w:lang w:eastAsia="en-GB"/>
        </w:rPr>
        <w:t xml:space="preserve">All data for SDG indicators as compiled by the Office are sent to countries (through the </w:t>
      </w:r>
      <w:r w:rsidR="00A9651C" w:rsidRPr="007D1F99">
        <w:rPr>
          <w:rFonts w:ascii="Calibri" w:hAnsi="Calibri" w:cs="Calibri"/>
          <w:color w:val="000000" w:themeColor="text1"/>
          <w:lang w:eastAsia="en-GB"/>
        </w:rPr>
        <w:t xml:space="preserve">relevant </w:t>
      </w:r>
      <w:r w:rsidRPr="007D1F99">
        <w:rPr>
          <w:rFonts w:ascii="Calibri" w:hAnsi="Calibri" w:cs="Calibri"/>
          <w:color w:val="000000" w:themeColor="text1"/>
          <w:lang w:eastAsia="en-GB"/>
        </w:rPr>
        <w:t>national focal points) for their review</w:t>
      </w:r>
      <w:r w:rsidR="00664CBC" w:rsidRPr="007D1F99">
        <w:rPr>
          <w:rFonts w:ascii="Calibri" w:hAnsi="Calibri" w:cs="Calibri"/>
          <w:color w:val="000000" w:themeColor="text1"/>
          <w:lang w:eastAsia="en-GB"/>
        </w:rPr>
        <w:t xml:space="preserve"> </w:t>
      </w:r>
      <w:r w:rsidRPr="007D1F99">
        <w:rPr>
          <w:rFonts w:ascii="Calibri" w:hAnsi="Calibri" w:cs="Calibri"/>
          <w:color w:val="000000" w:themeColor="text1"/>
          <w:lang w:eastAsia="en-GB"/>
        </w:rPr>
        <w:t xml:space="preserve">before </w:t>
      </w:r>
      <w:r w:rsidR="00A9651C" w:rsidRPr="007D1F99">
        <w:rPr>
          <w:rFonts w:ascii="Calibri" w:hAnsi="Calibri" w:cs="Calibri"/>
          <w:color w:val="000000" w:themeColor="text1"/>
          <w:lang w:eastAsia="en-GB"/>
        </w:rPr>
        <w:t xml:space="preserve">statistical </w:t>
      </w:r>
      <w:r w:rsidRPr="007D1F99">
        <w:rPr>
          <w:rFonts w:ascii="Calibri" w:hAnsi="Calibri" w:cs="Calibri"/>
          <w:color w:val="000000" w:themeColor="text1"/>
          <w:lang w:eastAsia="en-GB"/>
        </w:rPr>
        <w:t>data are officially released by UNODC.</w:t>
      </w:r>
      <w:r w:rsidR="003255C3" w:rsidRPr="007D1F99">
        <w:rPr>
          <w:rFonts w:ascii="Calibri" w:hAnsi="Calibri" w:cs="Calibri"/>
          <w:color w:val="000000" w:themeColor="text1"/>
          <w:lang w:eastAsia="en-GB"/>
        </w:rPr>
        <w:t xml:space="preserve"> When countries provide feedback/comments on the data, a technical discussion is conducted to identify a common position</w:t>
      </w:r>
      <w:r w:rsidR="00A9651C" w:rsidRPr="007D1F99">
        <w:rPr>
          <w:rFonts w:ascii="Calibri" w:hAnsi="Calibri" w:cs="Calibri"/>
          <w:color w:val="000000" w:themeColor="text1"/>
          <w:lang w:eastAsia="en-GB"/>
        </w:rPr>
        <w:t>.</w:t>
      </w:r>
    </w:p>
    <w:p w14:paraId="1780B15F" w14:textId="77777777" w:rsidR="008C534C" w:rsidRPr="00A653A1" w:rsidRDefault="008C534C" w:rsidP="008C534C">
      <w:pPr>
        <w:pBdr>
          <w:bottom w:val="single" w:sz="12" w:space="4" w:color="DDDDDD"/>
        </w:pBdr>
        <w:shd w:val="clear" w:color="auto" w:fill="FFFFFF" w:themeFill="background1"/>
        <w:outlineLvl w:val="2"/>
        <w:rPr>
          <w:rFonts w:ascii="Calibri" w:hAnsi="Calibri" w:cs="Calibri"/>
          <w:color w:val="1C75BC"/>
          <w:sz w:val="36"/>
          <w:szCs w:val="36"/>
          <w:lang w:eastAsia="en-GB"/>
        </w:rPr>
      </w:pPr>
      <w:r w:rsidRPr="00A653A1">
        <w:rPr>
          <w:rFonts w:ascii="Calibri" w:hAnsi="Calibri" w:cs="Calibri"/>
          <w:color w:val="1C75BC"/>
          <w:sz w:val="36"/>
          <w:szCs w:val="36"/>
          <w:lang w:eastAsia="en-GB"/>
        </w:rPr>
        <w:t>Data sources</w:t>
      </w:r>
    </w:p>
    <w:p w14:paraId="3F215617" w14:textId="77777777" w:rsidR="008C534C" w:rsidRPr="00C3791D" w:rsidRDefault="008C534C" w:rsidP="00E57201">
      <w:pPr>
        <w:jc w:val="both"/>
        <w:rPr>
          <w:b/>
          <w:bCs/>
        </w:rPr>
      </w:pPr>
      <w:r w:rsidRPr="00C3791D">
        <w:rPr>
          <w:b/>
          <w:bCs/>
        </w:rPr>
        <w:t>Description</w:t>
      </w:r>
    </w:p>
    <w:p w14:paraId="548D868A" w14:textId="5CAC4113" w:rsidR="005551C8" w:rsidRPr="009E44A1" w:rsidRDefault="00A9651C" w:rsidP="00A9651C">
      <w:pPr>
        <w:jc w:val="both"/>
        <w:rPr>
          <w:rFonts w:ascii="Calibri" w:hAnsi="Calibri" w:cs="Calibri"/>
          <w:color w:val="000000" w:themeColor="text1"/>
          <w:lang w:eastAsia="en-GB"/>
        </w:rPr>
      </w:pPr>
      <w:r w:rsidRPr="009E44A1">
        <w:rPr>
          <w:rFonts w:ascii="Calibri" w:hAnsi="Calibri" w:cs="Calibri"/>
          <w:color w:val="000000" w:themeColor="text1"/>
          <w:lang w:eastAsia="en-GB"/>
        </w:rPr>
        <w:t xml:space="preserve">The Indicator is based on </w:t>
      </w:r>
      <w:r w:rsidR="009E44A1" w:rsidRPr="009E44A1">
        <w:rPr>
          <w:rFonts w:ascii="Calibri" w:hAnsi="Calibri" w:cs="Calibri"/>
          <w:color w:val="000000" w:themeColor="text1"/>
          <w:lang w:eastAsia="en-GB"/>
        </w:rPr>
        <w:t xml:space="preserve">four </w:t>
      </w:r>
      <w:r w:rsidRPr="009E44A1">
        <w:rPr>
          <w:rFonts w:ascii="Calibri" w:hAnsi="Calibri" w:cs="Calibri"/>
          <w:color w:val="000000" w:themeColor="text1"/>
          <w:lang w:eastAsia="en-GB"/>
        </w:rPr>
        <w:t>questions to be included in a household surve</w:t>
      </w:r>
      <w:r w:rsidRPr="009E44A1">
        <w:t>y</w:t>
      </w:r>
      <w:r w:rsidR="006D2BB3" w:rsidRPr="009E44A1">
        <w:t>.</w:t>
      </w:r>
      <w:r w:rsidRPr="009E44A1">
        <w:t xml:space="preserve"> The </w:t>
      </w:r>
      <w:r w:rsidR="006D2BB3" w:rsidRPr="009E44A1">
        <w:t xml:space="preserve">four </w:t>
      </w:r>
      <w:r w:rsidRPr="0072054F">
        <w:rPr>
          <w:rFonts w:ascii="Calibri" w:hAnsi="Calibri" w:cs="Calibri"/>
          <w:color w:val="000000" w:themeColor="text1"/>
          <w:lang w:eastAsia="en-GB"/>
        </w:rPr>
        <w:t xml:space="preserve">questions can be part of </w:t>
      </w:r>
      <w:r w:rsidRPr="007D1F99">
        <w:rPr>
          <w:rFonts w:ascii="Calibri" w:hAnsi="Calibri" w:cs="Calibri"/>
          <w:color w:val="000000" w:themeColor="text1"/>
          <w:lang w:eastAsia="en-GB"/>
        </w:rPr>
        <w:t>an</w:t>
      </w:r>
      <w:r w:rsidR="00664CBC" w:rsidRPr="007D1F99">
        <w:rPr>
          <w:rFonts w:ascii="Calibri" w:hAnsi="Calibri" w:cs="Calibri"/>
          <w:color w:val="000000" w:themeColor="text1"/>
          <w:lang w:eastAsia="en-GB"/>
        </w:rPr>
        <w:t xml:space="preserve"> add-on access to justice survey module, to be incorporated into other </w:t>
      </w:r>
      <w:r w:rsidR="00664CBC" w:rsidRPr="009E44A1">
        <w:rPr>
          <w:rFonts w:ascii="Calibri" w:hAnsi="Calibri" w:cs="Calibri"/>
          <w:color w:val="000000" w:themeColor="text1"/>
          <w:lang w:eastAsia="en-GB"/>
        </w:rPr>
        <w:t xml:space="preserve">ongoing general population surveys (such as </w:t>
      </w:r>
      <w:r w:rsidRPr="009E44A1">
        <w:rPr>
          <w:rFonts w:ascii="Calibri" w:hAnsi="Calibri" w:cs="Calibri"/>
          <w:color w:val="000000" w:themeColor="text1"/>
          <w:lang w:eastAsia="en-GB"/>
        </w:rPr>
        <w:t xml:space="preserve">surveys on </w:t>
      </w:r>
      <w:r w:rsidR="002F7351" w:rsidRPr="009E44A1">
        <w:rPr>
          <w:rFonts w:ascii="Calibri" w:hAnsi="Calibri" w:cs="Calibri"/>
          <w:color w:val="000000" w:themeColor="text1"/>
          <w:lang w:eastAsia="en-GB"/>
        </w:rPr>
        <w:t>crime victimization</w:t>
      </w:r>
      <w:r w:rsidRPr="009E44A1">
        <w:rPr>
          <w:rFonts w:ascii="Calibri" w:hAnsi="Calibri" w:cs="Calibri"/>
          <w:color w:val="000000" w:themeColor="text1"/>
          <w:lang w:eastAsia="en-GB"/>
        </w:rPr>
        <w:t>,</w:t>
      </w:r>
      <w:r w:rsidR="002F7351" w:rsidRPr="009E44A1">
        <w:rPr>
          <w:rFonts w:ascii="Calibri" w:hAnsi="Calibri" w:cs="Calibri"/>
          <w:color w:val="000000" w:themeColor="text1"/>
          <w:lang w:eastAsia="en-GB"/>
        </w:rPr>
        <w:t xml:space="preserve"> </w:t>
      </w:r>
      <w:r w:rsidRPr="009E44A1">
        <w:rPr>
          <w:rFonts w:ascii="Calibri" w:hAnsi="Calibri" w:cs="Calibri"/>
          <w:color w:val="000000" w:themeColor="text1"/>
          <w:lang w:eastAsia="en-GB"/>
        </w:rPr>
        <w:t>corruption, governance, quality of life, public attitudes or surveys on other topics)</w:t>
      </w:r>
      <w:r w:rsidR="00392395">
        <w:rPr>
          <w:rFonts w:ascii="Calibri" w:hAnsi="Calibri" w:cs="Calibri"/>
          <w:color w:val="000000" w:themeColor="text1"/>
          <w:lang w:eastAsia="en-GB"/>
        </w:rPr>
        <w:t xml:space="preserve"> or</w:t>
      </w:r>
      <w:r w:rsidR="005551C8" w:rsidRPr="009E44A1">
        <w:rPr>
          <w:rFonts w:ascii="Calibri" w:hAnsi="Calibri" w:cs="Calibri"/>
          <w:color w:val="000000" w:themeColor="text1"/>
          <w:lang w:eastAsia="en-GB"/>
        </w:rPr>
        <w:t xml:space="preserve"> be part of dedicated surveys on access to justice and legal needs.</w:t>
      </w:r>
    </w:p>
    <w:p w14:paraId="2EF5EB29" w14:textId="228DD6A7" w:rsidR="00E63AE7" w:rsidRDefault="0072054F" w:rsidP="00F76908">
      <w:pPr>
        <w:jc w:val="both"/>
        <w:rPr>
          <w:rFonts w:ascii="Calibri" w:hAnsi="Calibri" w:cs="Calibri"/>
          <w:color w:val="000000" w:themeColor="text1"/>
          <w:lang w:eastAsia="en-GB"/>
        </w:rPr>
      </w:pPr>
      <w:r w:rsidRPr="0072054F">
        <w:rPr>
          <w:rFonts w:ascii="Calibri" w:hAnsi="Calibri" w:cs="Calibri"/>
          <w:color w:val="000000" w:themeColor="text1"/>
          <w:lang w:eastAsia="en-GB"/>
        </w:rPr>
        <w:t xml:space="preserve">Data should be collected as part of a nationally representative probability sample of </w:t>
      </w:r>
      <w:r w:rsidR="00F76908">
        <w:rPr>
          <w:rFonts w:ascii="Calibri" w:hAnsi="Calibri" w:cs="Calibri"/>
          <w:color w:val="000000" w:themeColor="text1"/>
          <w:lang w:eastAsia="en-GB"/>
        </w:rPr>
        <w:t xml:space="preserve">adult </w:t>
      </w:r>
      <w:r w:rsidRPr="0072054F">
        <w:rPr>
          <w:rFonts w:ascii="Calibri" w:hAnsi="Calibri" w:cs="Calibri"/>
          <w:color w:val="000000" w:themeColor="text1"/>
          <w:lang w:eastAsia="en-GB"/>
        </w:rPr>
        <w:t xml:space="preserve">population residing in the country, irrespective of legal residence status. The sampling frame </w:t>
      </w:r>
      <w:r w:rsidR="00F76908">
        <w:rPr>
          <w:rFonts w:ascii="Calibri" w:hAnsi="Calibri" w:cs="Calibri"/>
          <w:color w:val="000000" w:themeColor="text1"/>
          <w:lang w:eastAsia="en-GB"/>
        </w:rPr>
        <w:t xml:space="preserve">and sample design </w:t>
      </w:r>
      <w:r w:rsidRPr="0072054F">
        <w:rPr>
          <w:rFonts w:ascii="Calibri" w:hAnsi="Calibri" w:cs="Calibri"/>
          <w:color w:val="000000" w:themeColor="text1"/>
          <w:lang w:eastAsia="en-GB"/>
        </w:rPr>
        <w:t xml:space="preserve">should ensure that results can be disaggregated at sub-national level. The sample </w:t>
      </w:r>
      <w:r w:rsidR="00A9651C" w:rsidRPr="009E44A1">
        <w:rPr>
          <w:rFonts w:ascii="Calibri" w:hAnsi="Calibri" w:cs="Calibri"/>
          <w:color w:val="000000" w:themeColor="text1"/>
          <w:lang w:eastAsia="en-GB"/>
        </w:rPr>
        <w:t xml:space="preserve">size </w:t>
      </w:r>
      <w:r>
        <w:rPr>
          <w:rFonts w:ascii="Calibri" w:hAnsi="Calibri" w:cs="Calibri"/>
          <w:color w:val="000000" w:themeColor="text1"/>
          <w:lang w:eastAsia="en-GB"/>
        </w:rPr>
        <w:t xml:space="preserve">should be </w:t>
      </w:r>
      <w:r w:rsidR="00A9651C" w:rsidRPr="009E44A1">
        <w:rPr>
          <w:rFonts w:ascii="Calibri" w:hAnsi="Calibri" w:cs="Calibri"/>
          <w:color w:val="000000" w:themeColor="text1"/>
          <w:lang w:eastAsia="en-GB"/>
        </w:rPr>
        <w:t xml:space="preserve">sufficiently large to capture relevant events and compute needed </w:t>
      </w:r>
      <w:proofErr w:type="spellStart"/>
      <w:r w:rsidR="009E44A1" w:rsidRPr="009E44A1">
        <w:rPr>
          <w:rFonts w:ascii="Calibri" w:hAnsi="Calibri" w:cs="Calibri"/>
          <w:color w:val="000000" w:themeColor="text1"/>
          <w:lang w:eastAsia="en-GB"/>
        </w:rPr>
        <w:t>disaggregations</w:t>
      </w:r>
      <w:proofErr w:type="spellEnd"/>
      <w:r w:rsidR="005551C8" w:rsidRPr="009E44A1">
        <w:rPr>
          <w:rFonts w:ascii="Calibri" w:hAnsi="Calibri" w:cs="Calibri"/>
          <w:color w:val="000000" w:themeColor="text1"/>
          <w:lang w:eastAsia="en-GB"/>
        </w:rPr>
        <w:t>.</w:t>
      </w:r>
    </w:p>
    <w:p w14:paraId="26B2C509" w14:textId="181942F0" w:rsidR="008C534C" w:rsidRPr="007D1F99" w:rsidRDefault="0072054F" w:rsidP="00E63AE7">
      <w:pPr>
        <w:jc w:val="both"/>
        <w:rPr>
          <w:b/>
          <w:bCs/>
        </w:rPr>
      </w:pPr>
      <w:r w:rsidRPr="0072054F">
        <w:rPr>
          <w:rFonts w:ascii="Calibri" w:hAnsi="Calibri" w:cs="Calibri"/>
          <w:color w:val="000000" w:themeColor="text1"/>
          <w:lang w:eastAsia="en-GB"/>
        </w:rPr>
        <w:br/>
      </w:r>
      <w:r w:rsidR="00E63AE7" w:rsidRPr="002E2ACD">
        <w:rPr>
          <w:b/>
          <w:bCs/>
        </w:rPr>
        <w:t>International data c</w:t>
      </w:r>
      <w:r w:rsidR="008C534C" w:rsidRPr="007D1F99">
        <w:rPr>
          <w:b/>
          <w:bCs/>
        </w:rPr>
        <w:t>ollection process</w:t>
      </w:r>
    </w:p>
    <w:p w14:paraId="333DC070" w14:textId="5E6B662A" w:rsidR="00C84E21" w:rsidRPr="007D1F99" w:rsidRDefault="003255C3" w:rsidP="00C84E21">
      <w:pPr>
        <w:pStyle w:val="ListParagraph"/>
        <w:numPr>
          <w:ilvl w:val="0"/>
          <w:numId w:val="10"/>
        </w:numPr>
        <w:jc w:val="both"/>
        <w:rPr>
          <w:rFonts w:ascii="Calibri" w:hAnsi="Calibri" w:cs="Calibri"/>
          <w:color w:val="000000" w:themeColor="text1"/>
          <w:lang w:eastAsia="en-GB"/>
        </w:rPr>
      </w:pPr>
      <w:r w:rsidRPr="007D1F99">
        <w:rPr>
          <w:rFonts w:ascii="Calibri" w:hAnsi="Calibri" w:cs="Calibri"/>
          <w:color w:val="000000" w:themeColor="text1"/>
          <w:lang w:eastAsia="en-GB"/>
        </w:rPr>
        <w:t>Data are c</w:t>
      </w:r>
      <w:r w:rsidR="00C84E21" w:rsidRPr="007D1F99">
        <w:rPr>
          <w:rFonts w:ascii="Calibri" w:hAnsi="Calibri" w:cs="Calibri"/>
          <w:color w:val="000000" w:themeColor="text1"/>
          <w:lang w:eastAsia="en-GB"/>
        </w:rPr>
        <w:t>ollect</w:t>
      </w:r>
      <w:r w:rsidRPr="007D1F99">
        <w:rPr>
          <w:rFonts w:ascii="Calibri" w:hAnsi="Calibri" w:cs="Calibri"/>
          <w:color w:val="000000" w:themeColor="text1"/>
          <w:lang w:eastAsia="en-GB"/>
        </w:rPr>
        <w:t xml:space="preserve">ed </w:t>
      </w:r>
      <w:r w:rsidR="00C84E21" w:rsidRPr="007D1F99">
        <w:rPr>
          <w:rFonts w:ascii="Calibri" w:hAnsi="Calibri" w:cs="Calibri"/>
          <w:color w:val="000000" w:themeColor="text1"/>
          <w:lang w:eastAsia="en-GB"/>
        </w:rPr>
        <w:t xml:space="preserve">through </w:t>
      </w:r>
      <w:r w:rsidRPr="007D1F99">
        <w:rPr>
          <w:rFonts w:ascii="Calibri" w:hAnsi="Calibri" w:cs="Calibri"/>
          <w:color w:val="000000" w:themeColor="text1"/>
          <w:lang w:eastAsia="en-GB"/>
        </w:rPr>
        <w:t xml:space="preserve">a </w:t>
      </w:r>
      <w:r w:rsidR="00C84E21" w:rsidRPr="007D1F99">
        <w:rPr>
          <w:rFonts w:ascii="Calibri" w:hAnsi="Calibri" w:cs="Calibri"/>
          <w:color w:val="000000" w:themeColor="text1"/>
          <w:lang w:eastAsia="en-GB"/>
        </w:rPr>
        <w:t>standardised questionnaire</w:t>
      </w:r>
      <w:r w:rsidRPr="007D1F99">
        <w:rPr>
          <w:rFonts w:ascii="Calibri" w:hAnsi="Calibri" w:cs="Calibri"/>
          <w:color w:val="000000" w:themeColor="text1"/>
          <w:lang w:eastAsia="en-GB"/>
        </w:rPr>
        <w:t xml:space="preserve"> sent to countries</w:t>
      </w:r>
      <w:r w:rsidRPr="007D1F99">
        <w:rPr>
          <w:rStyle w:val="FootnoteReference"/>
          <w:rFonts w:ascii="Calibri" w:hAnsi="Calibri" w:cs="Calibri"/>
          <w:color w:val="000000" w:themeColor="text1"/>
          <w:lang w:eastAsia="en-GB"/>
        </w:rPr>
        <w:footnoteReference w:id="7"/>
      </w:r>
      <w:r w:rsidR="00C84E21" w:rsidRPr="007D1F99">
        <w:rPr>
          <w:rFonts w:ascii="Calibri" w:hAnsi="Calibri" w:cs="Calibri"/>
          <w:color w:val="000000" w:themeColor="text1"/>
          <w:lang w:eastAsia="en-GB"/>
        </w:rPr>
        <w:t xml:space="preserve">. </w:t>
      </w:r>
      <w:r w:rsidRPr="007D1F99">
        <w:rPr>
          <w:rFonts w:ascii="Calibri" w:hAnsi="Calibri" w:cs="Calibri"/>
          <w:color w:val="000000" w:themeColor="text1"/>
          <w:lang w:eastAsia="en-GB"/>
        </w:rPr>
        <w:t xml:space="preserve">This </w:t>
      </w:r>
      <w:r w:rsidR="00C84E21" w:rsidRPr="007D1F99">
        <w:rPr>
          <w:rFonts w:ascii="Calibri" w:hAnsi="Calibri" w:cs="Calibri"/>
          <w:color w:val="000000" w:themeColor="text1"/>
          <w:lang w:eastAsia="en-GB"/>
        </w:rPr>
        <w:t>questionnaire provide</w:t>
      </w:r>
      <w:r w:rsidR="002F7351" w:rsidRPr="007D1F99">
        <w:rPr>
          <w:rFonts w:ascii="Calibri" w:hAnsi="Calibri" w:cs="Calibri"/>
          <w:color w:val="000000" w:themeColor="text1"/>
          <w:lang w:eastAsia="en-GB"/>
        </w:rPr>
        <w:t>s</w:t>
      </w:r>
      <w:r w:rsidR="00C84E21" w:rsidRPr="007D1F99">
        <w:rPr>
          <w:rFonts w:ascii="Calibri" w:hAnsi="Calibri" w:cs="Calibri"/>
          <w:color w:val="000000" w:themeColor="text1"/>
          <w:lang w:eastAsia="en-GB"/>
        </w:rPr>
        <w:t xml:space="preserve"> specific definitions of data to be collected and it collects a set of metadata to identify possible discrepancies from standard definitions and to assess overall data quality (e.g. sample size, target population, agency responsible for the data collection, etc.). </w:t>
      </w:r>
    </w:p>
    <w:p w14:paraId="630C5E2E" w14:textId="77777777" w:rsidR="00C84E21" w:rsidRPr="007D1F99" w:rsidRDefault="00C84E21" w:rsidP="00C84E21">
      <w:pPr>
        <w:pStyle w:val="ListParagraph"/>
        <w:numPr>
          <w:ilvl w:val="0"/>
          <w:numId w:val="10"/>
        </w:numPr>
        <w:jc w:val="both"/>
        <w:rPr>
          <w:rFonts w:ascii="Calibri" w:hAnsi="Calibri" w:cs="Calibri"/>
          <w:color w:val="000000" w:themeColor="text1"/>
          <w:lang w:eastAsia="en-GB"/>
        </w:rPr>
      </w:pPr>
      <w:r w:rsidRPr="007D1F99">
        <w:rPr>
          <w:rFonts w:ascii="Calibri" w:hAnsi="Calibri" w:cs="Calibri"/>
          <w:color w:val="000000" w:themeColor="text1"/>
          <w:lang w:eastAsia="en-GB"/>
        </w:rPr>
        <w:t xml:space="preserve">When needed, data of interest and relevant </w:t>
      </w:r>
      <w:proofErr w:type="spellStart"/>
      <w:r w:rsidRPr="007D1F99">
        <w:rPr>
          <w:rFonts w:ascii="Calibri" w:hAnsi="Calibri" w:cs="Calibri"/>
          <w:color w:val="000000" w:themeColor="text1"/>
          <w:lang w:eastAsia="en-GB"/>
        </w:rPr>
        <w:t>disaggregations</w:t>
      </w:r>
      <w:proofErr w:type="spellEnd"/>
      <w:r w:rsidRPr="007D1F99">
        <w:rPr>
          <w:rFonts w:ascii="Calibri" w:hAnsi="Calibri" w:cs="Calibri"/>
          <w:color w:val="000000" w:themeColor="text1"/>
          <w:lang w:eastAsia="en-GB"/>
        </w:rPr>
        <w:t xml:space="preserve"> are requested</w:t>
      </w:r>
    </w:p>
    <w:p w14:paraId="6C85EE37" w14:textId="77777777" w:rsidR="00C84E21" w:rsidRPr="007D1F99" w:rsidRDefault="00C84E21" w:rsidP="00C84E21">
      <w:pPr>
        <w:pStyle w:val="ListParagraph"/>
        <w:numPr>
          <w:ilvl w:val="0"/>
          <w:numId w:val="10"/>
        </w:numPr>
        <w:jc w:val="both"/>
        <w:rPr>
          <w:rFonts w:ascii="Calibri" w:hAnsi="Calibri" w:cs="Calibri"/>
          <w:color w:val="000000" w:themeColor="text1"/>
          <w:lang w:eastAsia="en-GB"/>
        </w:rPr>
      </w:pPr>
      <w:r w:rsidRPr="007D1F99">
        <w:rPr>
          <w:rFonts w:ascii="Calibri" w:hAnsi="Calibri" w:cs="Calibri"/>
          <w:color w:val="000000" w:themeColor="text1"/>
          <w:lang w:eastAsia="en-GB"/>
        </w:rPr>
        <w:t>Data for multiple years are collected to assess data consistency across time</w:t>
      </w:r>
    </w:p>
    <w:p w14:paraId="69109636" w14:textId="092D333D" w:rsidR="00C84E21" w:rsidRPr="007D1F99" w:rsidRDefault="00C84E21" w:rsidP="00C84E21">
      <w:pPr>
        <w:pStyle w:val="ListParagraph"/>
        <w:numPr>
          <w:ilvl w:val="0"/>
          <w:numId w:val="10"/>
        </w:numPr>
        <w:jc w:val="both"/>
        <w:rPr>
          <w:rFonts w:ascii="Calibri" w:hAnsi="Calibri" w:cs="Calibri"/>
          <w:color w:val="000000" w:themeColor="text1"/>
          <w:lang w:eastAsia="en-GB"/>
        </w:rPr>
      </w:pPr>
      <w:r w:rsidRPr="007D1F99">
        <w:rPr>
          <w:rFonts w:ascii="Calibri" w:hAnsi="Calibri" w:cs="Calibri"/>
          <w:color w:val="000000" w:themeColor="text1"/>
          <w:lang w:eastAsia="en-GB"/>
        </w:rPr>
        <w:t xml:space="preserve">Countries are requested to appoint national focal points </w:t>
      </w:r>
      <w:r w:rsidR="002F7351" w:rsidRPr="007D1F99">
        <w:rPr>
          <w:rFonts w:ascii="Calibri" w:hAnsi="Calibri" w:cs="Calibri"/>
          <w:color w:val="000000" w:themeColor="text1"/>
          <w:lang w:eastAsia="en-GB"/>
        </w:rPr>
        <w:t xml:space="preserve">(including from NSOs) </w:t>
      </w:r>
      <w:r w:rsidRPr="007D1F99">
        <w:rPr>
          <w:rFonts w:ascii="Calibri" w:hAnsi="Calibri" w:cs="Calibri"/>
          <w:color w:val="000000" w:themeColor="text1"/>
          <w:lang w:eastAsia="en-GB"/>
        </w:rPr>
        <w:t>for the various data topics to ensure technical supervision at country level on collected data</w:t>
      </w:r>
    </w:p>
    <w:p w14:paraId="3C5F748D" w14:textId="77777777" w:rsidR="00C84E21" w:rsidRPr="007D1F99" w:rsidRDefault="00C84E21" w:rsidP="00C84E21">
      <w:pPr>
        <w:pStyle w:val="ListParagraph"/>
        <w:numPr>
          <w:ilvl w:val="0"/>
          <w:numId w:val="10"/>
        </w:numPr>
        <w:jc w:val="both"/>
        <w:rPr>
          <w:rFonts w:ascii="Calibri" w:hAnsi="Calibri" w:cs="Calibri"/>
          <w:color w:val="000000" w:themeColor="text1"/>
          <w:lang w:eastAsia="en-GB"/>
        </w:rPr>
      </w:pPr>
      <w:r w:rsidRPr="007D1F99">
        <w:rPr>
          <w:rFonts w:ascii="Calibri" w:hAnsi="Calibri" w:cs="Calibri"/>
          <w:color w:val="000000" w:themeColor="text1"/>
          <w:lang w:eastAsia="en-GB"/>
        </w:rPr>
        <w:lastRenderedPageBreak/>
        <w:t xml:space="preserve">Automated and substantive validation procedures are in place when data are processed by the Office to assess their consistency and compliance with standards </w:t>
      </w:r>
    </w:p>
    <w:p w14:paraId="6E0B914D" w14:textId="6246976F" w:rsidR="008C534C" w:rsidRDefault="00C84E21" w:rsidP="00E57201">
      <w:pPr>
        <w:pStyle w:val="ListParagraph"/>
        <w:numPr>
          <w:ilvl w:val="0"/>
          <w:numId w:val="10"/>
        </w:numPr>
        <w:jc w:val="both"/>
        <w:rPr>
          <w:rFonts w:ascii="Calibri" w:hAnsi="Calibri" w:cs="Calibri"/>
          <w:color w:val="000000" w:themeColor="text1"/>
          <w:lang w:eastAsia="en-GB"/>
        </w:rPr>
      </w:pPr>
      <w:r w:rsidRPr="007D1F99">
        <w:rPr>
          <w:rFonts w:ascii="Calibri" w:hAnsi="Calibri" w:cs="Calibri"/>
          <w:color w:val="000000" w:themeColor="text1"/>
          <w:lang w:eastAsia="en-GB"/>
        </w:rPr>
        <w:t xml:space="preserve">When data from national official sources are missing or not complying with methodological standards, data from other sources are also considered and processed by using the same quality assurance procedures. </w:t>
      </w:r>
    </w:p>
    <w:p w14:paraId="492C66E6" w14:textId="77777777" w:rsidR="00DF11E3" w:rsidRPr="00DF11E3" w:rsidRDefault="00DF11E3" w:rsidP="00DF11E3">
      <w:pPr>
        <w:pStyle w:val="ListParagraph"/>
        <w:jc w:val="both"/>
        <w:rPr>
          <w:rFonts w:ascii="Calibri" w:hAnsi="Calibri" w:cs="Calibri"/>
          <w:color w:val="000000" w:themeColor="text1"/>
          <w:lang w:eastAsia="en-GB"/>
        </w:rPr>
      </w:pPr>
    </w:p>
    <w:p w14:paraId="4CD21EAC" w14:textId="77777777" w:rsidR="008C534C" w:rsidRPr="00A653A1" w:rsidRDefault="008C534C" w:rsidP="008C534C">
      <w:pPr>
        <w:pBdr>
          <w:bottom w:val="single" w:sz="12" w:space="4" w:color="DDDDDD"/>
        </w:pBdr>
        <w:shd w:val="clear" w:color="auto" w:fill="FFFFFF" w:themeFill="background1"/>
        <w:outlineLvl w:val="2"/>
        <w:rPr>
          <w:rFonts w:ascii="Calibri" w:hAnsi="Calibri" w:cs="Calibri"/>
          <w:color w:val="1C75BC"/>
          <w:sz w:val="36"/>
          <w:szCs w:val="36"/>
          <w:lang w:eastAsia="en-GB"/>
        </w:rPr>
      </w:pPr>
      <w:r w:rsidRPr="00A653A1">
        <w:rPr>
          <w:rFonts w:ascii="Calibri" w:hAnsi="Calibri" w:cs="Calibri"/>
          <w:color w:val="1C75BC"/>
          <w:sz w:val="36"/>
          <w:szCs w:val="36"/>
          <w:lang w:eastAsia="en-GB"/>
        </w:rPr>
        <w:t>Data availability</w:t>
      </w:r>
    </w:p>
    <w:p w14:paraId="33EF954F" w14:textId="77777777" w:rsidR="008C534C" w:rsidRPr="00C51ACD" w:rsidRDefault="008C534C" w:rsidP="008C534C">
      <w:pPr>
        <w:jc w:val="both"/>
        <w:rPr>
          <w:b/>
          <w:bCs/>
        </w:rPr>
      </w:pPr>
      <w:r w:rsidRPr="00C51ACD">
        <w:rPr>
          <w:b/>
          <w:bCs/>
        </w:rPr>
        <w:t>Description</w:t>
      </w:r>
    </w:p>
    <w:p w14:paraId="03248BE3" w14:textId="0976A4A0" w:rsidR="0072054F" w:rsidRPr="0072054F" w:rsidRDefault="0072054F" w:rsidP="002E2ACD">
      <w:pPr>
        <w:pStyle w:val="Default"/>
        <w:spacing w:after="200" w:line="276" w:lineRule="auto"/>
        <w:jc w:val="both"/>
        <w:rPr>
          <w:rFonts w:ascii="Calibri" w:eastAsiaTheme="minorEastAsia" w:hAnsi="Calibri" w:cs="Calibri"/>
          <w:color w:val="auto"/>
          <w:sz w:val="22"/>
          <w:szCs w:val="22"/>
          <w:lang w:eastAsia="en-GB"/>
        </w:rPr>
      </w:pPr>
      <w:r w:rsidRPr="0072054F">
        <w:rPr>
          <w:rFonts w:ascii="Calibri" w:eastAsiaTheme="minorEastAsia" w:hAnsi="Calibri" w:cs="Calibri"/>
          <w:color w:val="auto"/>
          <w:sz w:val="22"/>
          <w:szCs w:val="22"/>
          <w:lang w:eastAsia="en-GB"/>
        </w:rPr>
        <w:t>A growing number of countries are implementing surveys using similar methodologies in order to assess legal needs, improve justice services, and strengthen linkages across sectors. However, the scale and methods of administration have varied. More than 60 national legal needs surveys have been conducted in more than 30 countries over the course of the last 25 years (4 by government statistical agencies, 18 by other government bodies, 3 by universities, and 37 by other organizations). National legal needs surveys have been conducted in Argentina, Australia, Bangladesh, Brazil (module), Bulgaria, Canada, Colombia, England and Wales, Georgia, Hong Kong, India, Japan, Jordan, Kenya, Kyrgyzstan, Lebanon, Macedonia, Mali, Mexico (module), Moldova, Mongolia, Nepal, the Netherlands, New Zealand, Northern Ireland, Poland, Scotland, Sierra Leone, Slovakia, Taiwan, Tajikistan, Tunisia, Uganda, Ukraine, the United Arab Emirates and the United States. In addition, extensive sub-national surveys have also been carried out, for example, in China, Ecuador, Russia, Indonesia and Yemen, along with smaller surveys in countries including Azerbaijan, Rwanda and Egypt.</w:t>
      </w:r>
      <w:r w:rsidRPr="0072054F">
        <w:rPr>
          <w:rStyle w:val="FootnoteReference"/>
          <w:rFonts w:ascii="Calibri" w:eastAsiaTheme="minorEastAsia" w:hAnsi="Calibri" w:cs="Calibri"/>
          <w:color w:val="auto"/>
          <w:sz w:val="22"/>
          <w:szCs w:val="22"/>
          <w:lang w:eastAsia="en-GB"/>
        </w:rPr>
        <w:footnoteReference w:id="8"/>
      </w:r>
      <w:r w:rsidR="00DB6862">
        <w:rPr>
          <w:rFonts w:ascii="Calibri" w:eastAsiaTheme="minorEastAsia" w:hAnsi="Calibri" w:cs="Calibri"/>
          <w:color w:val="auto"/>
          <w:sz w:val="22"/>
          <w:szCs w:val="22"/>
          <w:lang w:eastAsia="en-GB"/>
        </w:rPr>
        <w:t xml:space="preserve">  </w:t>
      </w:r>
    </w:p>
    <w:p w14:paraId="1908223E" w14:textId="17DF3EBA" w:rsidR="009160F1" w:rsidRDefault="007D36E6" w:rsidP="002E2ACD">
      <w:pPr>
        <w:jc w:val="both"/>
      </w:pPr>
      <w:r w:rsidRPr="007A66EE">
        <w:t xml:space="preserve">In Nigeria, the national statistical offices (NBS) </w:t>
      </w:r>
      <w:r w:rsidR="005D54B8" w:rsidRPr="007A66EE">
        <w:t>recent</w:t>
      </w:r>
      <w:r w:rsidRPr="007A66EE">
        <w:t>ly conducted two successive large</w:t>
      </w:r>
      <w:r w:rsidR="007A66EE">
        <w:t>-</w:t>
      </w:r>
      <w:r w:rsidRPr="007A66EE">
        <w:t xml:space="preserve">scale surveys (2016 and 2019) – with UNODC technical support </w:t>
      </w:r>
      <w:r w:rsidR="007A66EE" w:rsidRPr="007A66EE">
        <w:t>–</w:t>
      </w:r>
      <w:r w:rsidRPr="007A66EE">
        <w:t xml:space="preserve"> </w:t>
      </w:r>
      <w:r w:rsidR="007A66EE" w:rsidRPr="007A66EE">
        <w:t xml:space="preserve">that </w:t>
      </w:r>
      <w:r w:rsidRPr="007A66EE">
        <w:t>includ</w:t>
      </w:r>
      <w:r w:rsidR="007A66EE" w:rsidRPr="007A66EE">
        <w:t xml:space="preserve">ed </w:t>
      </w:r>
      <w:r w:rsidRPr="007A66EE">
        <w:t xml:space="preserve">a </w:t>
      </w:r>
      <w:r w:rsidR="00AD1CED">
        <w:t xml:space="preserve">module on access to justice. </w:t>
      </w:r>
      <w:r w:rsidR="0053583A">
        <w:t xml:space="preserve">Statistics South Africa has conducted </w:t>
      </w:r>
      <w:r w:rsidR="006D4C95">
        <w:t xml:space="preserve">in 2019 </w:t>
      </w:r>
      <w:r w:rsidR="0053583A">
        <w:t>a large-scale survey on Governance, Public Safety and Justice, which collected the information needed to compute the indicator.</w:t>
      </w:r>
    </w:p>
    <w:p w14:paraId="5C80CEBD" w14:textId="48D89435" w:rsidR="00E17FCD" w:rsidRDefault="00AD1CED" w:rsidP="002E2ACD">
      <w:pPr>
        <w:jc w:val="both"/>
      </w:pPr>
      <w:r>
        <w:t xml:space="preserve">Many of those surveys contain </w:t>
      </w:r>
      <w:r w:rsidR="00F76908">
        <w:t xml:space="preserve">the </w:t>
      </w:r>
      <w:r>
        <w:t xml:space="preserve">questions </w:t>
      </w:r>
      <w:r w:rsidR="007D36E6" w:rsidRPr="007A66EE">
        <w:t>needed to compute this indicator</w:t>
      </w:r>
      <w:r w:rsidR="00F76908">
        <w:t xml:space="preserve"> (experience of dispute, use of </w:t>
      </w:r>
      <w:r w:rsidR="00E17FCD">
        <w:t xml:space="preserve">resolution </w:t>
      </w:r>
      <w:r w:rsidR="00F76908">
        <w:t>mechanism -</w:t>
      </w:r>
      <w:r w:rsidR="00E17FCD">
        <w:t xml:space="preserve"> </w:t>
      </w:r>
      <w:r w:rsidR="00F76908">
        <w:t>either</w:t>
      </w:r>
      <w:r w:rsidR="00DB6862">
        <w:t xml:space="preserve"> </w:t>
      </w:r>
      <w:r w:rsidR="00E17FCD">
        <w:t xml:space="preserve">formal </w:t>
      </w:r>
      <w:r w:rsidR="00F76908">
        <w:t xml:space="preserve">or </w:t>
      </w:r>
      <w:r w:rsidR="00E17FCD">
        <w:t>informal</w:t>
      </w:r>
      <w:r w:rsidR="00F76908">
        <w:t xml:space="preserve"> – and </w:t>
      </w:r>
      <w:r w:rsidR="00E17FCD">
        <w:t xml:space="preserve">reasons for not </w:t>
      </w:r>
      <w:proofErr w:type="gramStart"/>
      <w:r w:rsidR="00E17FCD">
        <w:t>taking action</w:t>
      </w:r>
      <w:proofErr w:type="gramEnd"/>
      <w:r w:rsidR="00E17FCD">
        <w:t xml:space="preserve"> to resolve the dispute</w:t>
      </w:r>
      <w:r w:rsidR="00F76908">
        <w:t>)</w:t>
      </w:r>
      <w:r w:rsidR="00E17FCD">
        <w:t xml:space="preserve">. </w:t>
      </w:r>
    </w:p>
    <w:p w14:paraId="31AA8A13" w14:textId="77777777" w:rsidR="00AD1CED" w:rsidRPr="00A653A1" w:rsidRDefault="00AD1CED" w:rsidP="002E2ACD">
      <w:pPr>
        <w:pStyle w:val="Default"/>
        <w:spacing w:after="200" w:line="276" w:lineRule="auto"/>
        <w:jc w:val="both"/>
      </w:pPr>
    </w:p>
    <w:p w14:paraId="6D133092" w14:textId="77777777" w:rsidR="00C32428" w:rsidRPr="00573631" w:rsidRDefault="00C32428" w:rsidP="00C32428">
      <w:pPr>
        <w:pBdr>
          <w:bottom w:val="single" w:sz="12" w:space="4" w:color="DDDDDD"/>
        </w:pBdr>
        <w:shd w:val="clear" w:color="auto" w:fill="FFFFFF"/>
        <w:spacing w:after="0"/>
        <w:outlineLvl w:val="2"/>
        <w:rPr>
          <w:rFonts w:eastAsia="Times New Roman" w:cs="Times New Roman"/>
          <w:color w:val="1C75BC"/>
          <w:sz w:val="36"/>
          <w:szCs w:val="36"/>
          <w:lang w:eastAsia="en-GB"/>
        </w:rPr>
      </w:pPr>
      <w:r w:rsidRPr="00573631">
        <w:rPr>
          <w:rFonts w:eastAsia="Times New Roman" w:cs="Times New Roman"/>
          <w:color w:val="1C75BC"/>
          <w:sz w:val="36"/>
          <w:szCs w:val="36"/>
          <w:lang w:eastAsia="en-GB"/>
        </w:rPr>
        <w:t>Calendar</w:t>
      </w:r>
    </w:p>
    <w:p w14:paraId="143B3525" w14:textId="77777777" w:rsidR="00C32428" w:rsidRPr="00573631" w:rsidRDefault="00C32428" w:rsidP="00C32428">
      <w:pPr>
        <w:shd w:val="clear" w:color="auto" w:fill="FFFFFF"/>
        <w:spacing w:after="0"/>
        <w:rPr>
          <w:rFonts w:eastAsia="Times New Roman" w:cs="Times New Roman"/>
          <w:b/>
          <w:bCs/>
          <w:color w:val="4A4A4A"/>
          <w:sz w:val="21"/>
          <w:szCs w:val="21"/>
          <w:lang w:eastAsia="en-GB"/>
        </w:rPr>
      </w:pPr>
    </w:p>
    <w:p w14:paraId="3E7299B1" w14:textId="77777777" w:rsidR="00C32428" w:rsidRPr="00AD1CED" w:rsidRDefault="00C32428" w:rsidP="00C32428">
      <w:pPr>
        <w:shd w:val="clear" w:color="auto" w:fill="FFFFFF"/>
        <w:spacing w:after="0"/>
        <w:rPr>
          <w:rFonts w:eastAsia="Times New Roman" w:cs="Times New Roman"/>
          <w:color w:val="4A4A4A"/>
          <w:lang w:eastAsia="en-GB"/>
        </w:rPr>
      </w:pPr>
      <w:r w:rsidRPr="00AD1CED">
        <w:rPr>
          <w:rFonts w:eastAsia="Times New Roman" w:cs="Times New Roman"/>
          <w:b/>
          <w:bCs/>
          <w:color w:val="4A4A4A"/>
          <w:lang w:eastAsia="en-GB"/>
        </w:rPr>
        <w:t>Data collection:</w:t>
      </w:r>
    </w:p>
    <w:p w14:paraId="4D7EFF8E" w14:textId="593B50B1" w:rsidR="00C32428" w:rsidRPr="00AD1CED" w:rsidRDefault="0019518A" w:rsidP="002E2ACD">
      <w:pPr>
        <w:shd w:val="clear" w:color="auto" w:fill="FFFFFF"/>
        <w:tabs>
          <w:tab w:val="left" w:pos="1320"/>
        </w:tabs>
        <w:spacing w:after="0"/>
        <w:jc w:val="both"/>
        <w:rPr>
          <w:rFonts w:eastAsia="Times New Roman" w:cs="Times New Roman"/>
          <w:color w:val="4A4A4A"/>
          <w:lang w:eastAsia="en-GB"/>
        </w:rPr>
      </w:pPr>
      <w:r w:rsidRPr="00AD1CED">
        <w:rPr>
          <w:rFonts w:eastAsia="Times New Roman" w:cs="Times New Roman"/>
          <w:color w:val="4A4A4A"/>
          <w:lang w:eastAsia="en-GB"/>
        </w:rPr>
        <w:t xml:space="preserve">Countries are encouraged to conduct surveys on access to justice through the proposed module in regular intervals, but at least every four years to reflect progress between each of the quadrennial reviews of Goal 16 at the </w:t>
      </w:r>
      <w:proofErr w:type="gramStart"/>
      <w:r w:rsidRPr="00AD1CED">
        <w:rPr>
          <w:rFonts w:eastAsia="Times New Roman" w:cs="Times New Roman"/>
          <w:color w:val="4A4A4A"/>
          <w:lang w:eastAsia="en-GB"/>
        </w:rPr>
        <w:t>High Level</w:t>
      </w:r>
      <w:proofErr w:type="gramEnd"/>
      <w:r w:rsidRPr="00AD1CED">
        <w:rPr>
          <w:rFonts w:eastAsia="Times New Roman" w:cs="Times New Roman"/>
          <w:color w:val="4A4A4A"/>
          <w:lang w:eastAsia="en-GB"/>
        </w:rPr>
        <w:t xml:space="preserve"> Political Forum (HLPF).</w:t>
      </w:r>
    </w:p>
    <w:p w14:paraId="1C1EC5C7" w14:textId="77777777" w:rsidR="00C32428" w:rsidRPr="00AD1CED" w:rsidRDefault="00C32428" w:rsidP="00C32428">
      <w:pPr>
        <w:shd w:val="clear" w:color="auto" w:fill="FFFFFF"/>
        <w:tabs>
          <w:tab w:val="left" w:pos="1320"/>
        </w:tabs>
        <w:spacing w:after="0"/>
        <w:rPr>
          <w:rFonts w:eastAsia="Times New Roman" w:cs="Times New Roman"/>
          <w:color w:val="4A4A4A"/>
          <w:lang w:eastAsia="en-GB"/>
        </w:rPr>
      </w:pPr>
    </w:p>
    <w:p w14:paraId="639618F1" w14:textId="77777777" w:rsidR="00C32428" w:rsidRPr="00AD1CED" w:rsidRDefault="00C32428" w:rsidP="00C32428">
      <w:pPr>
        <w:shd w:val="clear" w:color="auto" w:fill="FFFFFF"/>
        <w:spacing w:after="0"/>
        <w:rPr>
          <w:rFonts w:eastAsia="Times New Roman" w:cs="Times New Roman"/>
          <w:color w:val="4A4A4A"/>
          <w:lang w:eastAsia="en-GB"/>
        </w:rPr>
      </w:pPr>
      <w:r w:rsidRPr="00AD1CED">
        <w:rPr>
          <w:rFonts w:eastAsia="Times New Roman" w:cs="Times New Roman"/>
          <w:b/>
          <w:bCs/>
          <w:color w:val="4A4A4A"/>
          <w:lang w:eastAsia="en-GB"/>
        </w:rPr>
        <w:t>Data release:</w:t>
      </w:r>
    </w:p>
    <w:p w14:paraId="1047B17E" w14:textId="4D0463DC" w:rsidR="00C32428" w:rsidRPr="00AD1CED" w:rsidRDefault="0019518A" w:rsidP="002E2ACD">
      <w:pPr>
        <w:shd w:val="clear" w:color="auto" w:fill="FFFFFF"/>
        <w:spacing w:after="0"/>
        <w:jc w:val="both"/>
        <w:rPr>
          <w:rFonts w:eastAsia="Times New Roman" w:cs="Times New Roman"/>
          <w:color w:val="4A4A4A"/>
          <w:lang w:eastAsia="en-GB"/>
        </w:rPr>
      </w:pPr>
      <w:r w:rsidRPr="00AD1CED">
        <w:rPr>
          <w:rFonts w:eastAsia="Times New Roman" w:cs="Times New Roman"/>
          <w:color w:val="4A4A4A"/>
          <w:lang w:eastAsia="en-GB"/>
        </w:rPr>
        <w:t xml:space="preserve">Data on relevant SDG indicators are collected, compiled and sent back to countries for data </w:t>
      </w:r>
      <w:r w:rsidR="007A66EE" w:rsidRPr="00AD1CED">
        <w:rPr>
          <w:rFonts w:eastAsia="Times New Roman" w:cs="Times New Roman"/>
          <w:color w:val="4A4A4A"/>
          <w:lang w:eastAsia="en-GB"/>
        </w:rPr>
        <w:t>review</w:t>
      </w:r>
      <w:r w:rsidRPr="00AD1CED">
        <w:rPr>
          <w:rFonts w:eastAsia="Times New Roman" w:cs="Times New Roman"/>
          <w:color w:val="4A4A4A"/>
          <w:lang w:eastAsia="en-GB"/>
        </w:rPr>
        <w:t xml:space="preserve"> annually. Data are then reported to UNSD through the regular reporting channels annually.</w:t>
      </w:r>
    </w:p>
    <w:p w14:paraId="2970DD61" w14:textId="77777777" w:rsidR="00C32428" w:rsidRPr="00AD1CED" w:rsidRDefault="00C32428" w:rsidP="00C32428">
      <w:pPr>
        <w:shd w:val="clear" w:color="auto" w:fill="FFFFFF"/>
        <w:spacing w:after="0"/>
        <w:rPr>
          <w:rFonts w:eastAsia="Times New Roman" w:cs="Times New Roman"/>
          <w:color w:val="4A4A4A"/>
          <w:lang w:eastAsia="en-GB"/>
        </w:rPr>
      </w:pPr>
    </w:p>
    <w:p w14:paraId="69E9AB53" w14:textId="77777777" w:rsidR="00C32428" w:rsidRPr="00573631" w:rsidRDefault="00C32428" w:rsidP="00C32428">
      <w:pPr>
        <w:pBdr>
          <w:bottom w:val="single" w:sz="12" w:space="4" w:color="DDDDDD"/>
        </w:pBdr>
        <w:shd w:val="clear" w:color="auto" w:fill="FFFFFF"/>
        <w:spacing w:after="0"/>
        <w:outlineLvl w:val="2"/>
        <w:rPr>
          <w:rFonts w:eastAsia="Times New Roman" w:cs="Times New Roman"/>
          <w:color w:val="1C75BC"/>
          <w:sz w:val="36"/>
          <w:szCs w:val="36"/>
          <w:lang w:eastAsia="en-GB"/>
        </w:rPr>
      </w:pPr>
      <w:r w:rsidRPr="00573631">
        <w:rPr>
          <w:rFonts w:eastAsia="Times New Roman" w:cs="Times New Roman"/>
          <w:color w:val="1C75BC"/>
          <w:sz w:val="36"/>
          <w:szCs w:val="36"/>
          <w:lang w:eastAsia="en-GB"/>
        </w:rPr>
        <w:t>Data providers</w:t>
      </w:r>
    </w:p>
    <w:p w14:paraId="445E8E3B" w14:textId="597E5084" w:rsidR="00C32428" w:rsidRPr="00AD1CED" w:rsidRDefault="0019518A" w:rsidP="002E2ACD">
      <w:pPr>
        <w:shd w:val="clear" w:color="auto" w:fill="FFFFFF"/>
        <w:tabs>
          <w:tab w:val="left" w:pos="1320"/>
        </w:tabs>
        <w:spacing w:after="0"/>
        <w:jc w:val="both"/>
        <w:rPr>
          <w:rFonts w:eastAsia="Times New Roman" w:cs="Times New Roman"/>
          <w:color w:val="4A4A4A"/>
          <w:lang w:eastAsia="en-GB"/>
        </w:rPr>
      </w:pPr>
      <w:r w:rsidRPr="00AD1CED">
        <w:rPr>
          <w:rFonts w:eastAsia="Times New Roman" w:cs="Times New Roman"/>
          <w:color w:val="4A4A4A"/>
          <w:lang w:eastAsia="en-GB"/>
        </w:rPr>
        <w:t xml:space="preserve">Data are collected through official nationally representative surveys. In most countries and most cases, such surveys are conducted by National Statistical Offices (NSOs). In some cases, other </w:t>
      </w:r>
      <w:r w:rsidR="007A66EE" w:rsidRPr="00AD1CED">
        <w:rPr>
          <w:rFonts w:eastAsia="Times New Roman" w:cs="Times New Roman"/>
          <w:color w:val="4A4A4A"/>
          <w:lang w:eastAsia="en-GB"/>
        </w:rPr>
        <w:t>national</w:t>
      </w:r>
      <w:r w:rsidRPr="00AD1CED">
        <w:rPr>
          <w:rFonts w:eastAsia="Times New Roman" w:cs="Times New Roman"/>
          <w:color w:val="4A4A4A"/>
          <w:lang w:eastAsia="en-GB"/>
        </w:rPr>
        <w:t xml:space="preserve"> </w:t>
      </w:r>
      <w:r w:rsidR="007A66EE" w:rsidRPr="00AD1CED">
        <w:rPr>
          <w:rFonts w:eastAsia="Times New Roman" w:cs="Times New Roman"/>
          <w:color w:val="4A4A4A"/>
          <w:lang w:eastAsia="en-GB"/>
        </w:rPr>
        <w:t>institutions</w:t>
      </w:r>
      <w:r w:rsidRPr="00AD1CED">
        <w:rPr>
          <w:rFonts w:eastAsia="Times New Roman" w:cs="Times New Roman"/>
          <w:color w:val="4A4A4A"/>
          <w:lang w:eastAsia="en-GB"/>
        </w:rPr>
        <w:t xml:space="preserve"> </w:t>
      </w:r>
      <w:r w:rsidR="007A66EE" w:rsidRPr="00AD1CED">
        <w:rPr>
          <w:rFonts w:eastAsia="Times New Roman" w:cs="Times New Roman"/>
          <w:color w:val="4A4A4A"/>
          <w:lang w:eastAsia="en-GB"/>
        </w:rPr>
        <w:t xml:space="preserve">or other entities </w:t>
      </w:r>
      <w:r w:rsidRPr="00AD1CED">
        <w:rPr>
          <w:rFonts w:eastAsia="Times New Roman" w:cs="Times New Roman"/>
          <w:color w:val="4A4A4A"/>
          <w:lang w:eastAsia="en-GB"/>
        </w:rPr>
        <w:t xml:space="preserve">may conduct </w:t>
      </w:r>
      <w:r w:rsidR="007A66EE" w:rsidRPr="00AD1CED">
        <w:rPr>
          <w:rFonts w:eastAsia="Times New Roman" w:cs="Times New Roman"/>
          <w:color w:val="4A4A4A"/>
          <w:lang w:eastAsia="en-GB"/>
        </w:rPr>
        <w:t xml:space="preserve">surveys </w:t>
      </w:r>
      <w:r w:rsidRPr="00AD1CED">
        <w:rPr>
          <w:rFonts w:eastAsia="Times New Roman" w:cs="Times New Roman"/>
          <w:color w:val="4A4A4A"/>
          <w:lang w:eastAsia="en-GB"/>
        </w:rPr>
        <w:t xml:space="preserve">on access to justice </w:t>
      </w:r>
      <w:r w:rsidR="007A66EE" w:rsidRPr="00AD1CED">
        <w:rPr>
          <w:rFonts w:eastAsia="Times New Roman" w:cs="Times New Roman"/>
          <w:color w:val="4A4A4A"/>
          <w:lang w:eastAsia="en-GB"/>
        </w:rPr>
        <w:t>according to the same methodological standards.</w:t>
      </w:r>
    </w:p>
    <w:p w14:paraId="7A8349AB" w14:textId="77777777" w:rsidR="00C32428" w:rsidRPr="00573631" w:rsidRDefault="00C32428" w:rsidP="00C32428">
      <w:pPr>
        <w:shd w:val="clear" w:color="auto" w:fill="FFFFFF"/>
        <w:spacing w:after="0"/>
        <w:rPr>
          <w:rFonts w:eastAsia="Times New Roman" w:cs="Times New Roman"/>
          <w:color w:val="4A4A4A"/>
          <w:sz w:val="21"/>
          <w:szCs w:val="21"/>
          <w:lang w:eastAsia="en-GB"/>
        </w:rPr>
      </w:pPr>
    </w:p>
    <w:p w14:paraId="19AE15F7" w14:textId="77777777" w:rsidR="00C32428" w:rsidRPr="00A8259D" w:rsidRDefault="00C32428" w:rsidP="00C32428">
      <w:pPr>
        <w:pBdr>
          <w:bottom w:val="single" w:sz="12" w:space="4" w:color="DDDDDD"/>
        </w:pBdr>
        <w:shd w:val="clear" w:color="auto" w:fill="FFFFFF"/>
        <w:spacing w:after="0"/>
        <w:outlineLvl w:val="2"/>
        <w:rPr>
          <w:rFonts w:eastAsia="Times New Roman" w:cs="Times New Roman"/>
          <w:color w:val="1C75BC"/>
          <w:sz w:val="36"/>
          <w:szCs w:val="36"/>
          <w:lang w:val="en-US" w:eastAsia="en-GB"/>
        </w:rPr>
      </w:pPr>
      <w:r w:rsidRPr="00A8259D">
        <w:rPr>
          <w:rFonts w:eastAsia="Times New Roman" w:cs="Times New Roman"/>
          <w:color w:val="1C75BC"/>
          <w:sz w:val="36"/>
          <w:szCs w:val="36"/>
          <w:lang w:val="en-US" w:eastAsia="en-GB"/>
        </w:rPr>
        <w:t>Data compilers</w:t>
      </w:r>
    </w:p>
    <w:p w14:paraId="468D6D7C" w14:textId="21754354" w:rsidR="00C32428" w:rsidRPr="00A8259D" w:rsidRDefault="0019518A" w:rsidP="00C32428">
      <w:pPr>
        <w:shd w:val="clear" w:color="auto" w:fill="FFFFFF"/>
        <w:spacing w:after="0"/>
        <w:rPr>
          <w:rFonts w:eastAsia="Times New Roman" w:cs="Times New Roman"/>
          <w:color w:val="4A4A4A"/>
          <w:lang w:val="en-US" w:eastAsia="en-GB"/>
        </w:rPr>
      </w:pPr>
      <w:r w:rsidRPr="00A8259D">
        <w:rPr>
          <w:rFonts w:eastAsia="Times New Roman" w:cs="Times New Roman"/>
          <w:color w:val="4A4A4A"/>
          <w:lang w:val="en-US" w:eastAsia="en-GB"/>
        </w:rPr>
        <w:t xml:space="preserve">Data will be compiled by the </w:t>
      </w:r>
      <w:r w:rsidR="007A66EE" w:rsidRPr="00A8259D">
        <w:rPr>
          <w:rFonts w:eastAsia="Times New Roman" w:cs="Times New Roman"/>
          <w:color w:val="4A4A4A"/>
          <w:lang w:val="en-US" w:eastAsia="en-GB"/>
        </w:rPr>
        <w:t>co-</w:t>
      </w:r>
      <w:r w:rsidRPr="00A8259D">
        <w:rPr>
          <w:rFonts w:eastAsia="Times New Roman" w:cs="Times New Roman"/>
          <w:color w:val="4A4A4A"/>
          <w:lang w:val="en-US" w:eastAsia="en-GB"/>
        </w:rPr>
        <w:t>custodian</w:t>
      </w:r>
      <w:r w:rsidR="007A66EE" w:rsidRPr="00A8259D">
        <w:rPr>
          <w:rFonts w:eastAsia="Times New Roman" w:cs="Times New Roman"/>
          <w:color w:val="4A4A4A"/>
          <w:lang w:val="en-US" w:eastAsia="en-GB"/>
        </w:rPr>
        <w:t>s</w:t>
      </w:r>
      <w:r w:rsidRPr="00A8259D">
        <w:rPr>
          <w:rFonts w:eastAsia="Times New Roman" w:cs="Times New Roman"/>
          <w:color w:val="4A4A4A"/>
          <w:lang w:val="en-US" w:eastAsia="en-GB"/>
        </w:rPr>
        <w:t xml:space="preserve"> for this indicator (UNODC</w:t>
      </w:r>
      <w:r w:rsidR="007A66EE" w:rsidRPr="00A8259D">
        <w:rPr>
          <w:rFonts w:eastAsia="Times New Roman" w:cs="Times New Roman"/>
          <w:color w:val="4A4A4A"/>
          <w:lang w:val="en-US" w:eastAsia="en-GB"/>
        </w:rPr>
        <w:t xml:space="preserve">, </w:t>
      </w:r>
      <w:r w:rsidRPr="00A8259D">
        <w:rPr>
          <w:rFonts w:eastAsia="Times New Roman" w:cs="Times New Roman"/>
          <w:color w:val="4A4A4A"/>
          <w:lang w:val="en-US" w:eastAsia="en-GB"/>
        </w:rPr>
        <w:t>UNDP</w:t>
      </w:r>
      <w:r w:rsidR="007A66EE" w:rsidRPr="00A8259D">
        <w:rPr>
          <w:rFonts w:eastAsia="Times New Roman" w:cs="Times New Roman"/>
          <w:color w:val="4A4A4A"/>
          <w:lang w:val="en-US" w:eastAsia="en-GB"/>
        </w:rPr>
        <w:t xml:space="preserve"> and </w:t>
      </w:r>
      <w:r w:rsidRPr="00A8259D">
        <w:rPr>
          <w:rFonts w:eastAsia="Times New Roman" w:cs="Times New Roman"/>
          <w:color w:val="4A4A4A"/>
          <w:lang w:val="en-US" w:eastAsia="en-GB"/>
        </w:rPr>
        <w:t>OECD).</w:t>
      </w:r>
    </w:p>
    <w:p w14:paraId="3AAE1633" w14:textId="77777777" w:rsidR="00C32428" w:rsidRPr="00A8259D" w:rsidRDefault="00C32428" w:rsidP="00C32428">
      <w:pPr>
        <w:shd w:val="clear" w:color="auto" w:fill="FFFFFF"/>
        <w:spacing w:after="0"/>
        <w:rPr>
          <w:rFonts w:eastAsia="Times New Roman" w:cs="Times New Roman"/>
          <w:color w:val="4A4A4A"/>
          <w:sz w:val="21"/>
          <w:szCs w:val="21"/>
          <w:lang w:val="en-US" w:eastAsia="en-GB"/>
        </w:rPr>
      </w:pPr>
    </w:p>
    <w:p w14:paraId="43966870" w14:textId="77777777" w:rsidR="00C32428" w:rsidRPr="002A5DCD" w:rsidRDefault="00C32428" w:rsidP="00C32428">
      <w:pPr>
        <w:pBdr>
          <w:bottom w:val="single" w:sz="12" w:space="4" w:color="DDDDDD"/>
        </w:pBdr>
        <w:shd w:val="clear" w:color="auto" w:fill="FFFFFF"/>
        <w:spacing w:after="0"/>
        <w:outlineLvl w:val="2"/>
        <w:rPr>
          <w:rFonts w:eastAsia="Times New Roman" w:cs="Times New Roman"/>
          <w:color w:val="1C75BC"/>
          <w:sz w:val="36"/>
          <w:szCs w:val="36"/>
          <w:lang w:val="es-MX" w:eastAsia="en-GB"/>
        </w:rPr>
      </w:pPr>
      <w:proofErr w:type="spellStart"/>
      <w:r w:rsidRPr="002A5DCD">
        <w:rPr>
          <w:rFonts w:eastAsia="Times New Roman" w:cs="Times New Roman"/>
          <w:color w:val="1C75BC"/>
          <w:sz w:val="36"/>
          <w:szCs w:val="36"/>
          <w:lang w:val="es-MX" w:eastAsia="en-GB"/>
        </w:rPr>
        <w:t>References</w:t>
      </w:r>
      <w:proofErr w:type="spellEnd"/>
    </w:p>
    <w:p w14:paraId="0BC591C4" w14:textId="77777777" w:rsidR="00C32428" w:rsidRPr="002A5DCD" w:rsidRDefault="00C32428" w:rsidP="00C32428">
      <w:pPr>
        <w:shd w:val="clear" w:color="auto" w:fill="FFFFFF"/>
        <w:spacing w:after="0"/>
        <w:rPr>
          <w:rFonts w:eastAsia="Times New Roman" w:cs="Times New Roman"/>
          <w:b/>
          <w:bCs/>
          <w:color w:val="4A4A4A"/>
          <w:sz w:val="21"/>
          <w:szCs w:val="21"/>
          <w:lang w:val="es-MX" w:eastAsia="en-GB"/>
        </w:rPr>
      </w:pPr>
    </w:p>
    <w:p w14:paraId="7EBFAEED" w14:textId="77777777" w:rsidR="00DF11E3" w:rsidRPr="002A5DCD" w:rsidRDefault="00C32428" w:rsidP="00C32428">
      <w:pPr>
        <w:shd w:val="clear" w:color="auto" w:fill="FFFFFF"/>
        <w:spacing w:after="0"/>
        <w:rPr>
          <w:rFonts w:eastAsia="Times New Roman" w:cs="Times New Roman"/>
          <w:b/>
          <w:bCs/>
          <w:color w:val="4A4A4A"/>
          <w:sz w:val="21"/>
          <w:szCs w:val="21"/>
          <w:lang w:val="es-MX" w:eastAsia="en-GB"/>
        </w:rPr>
      </w:pPr>
      <w:r w:rsidRPr="002A5DCD">
        <w:rPr>
          <w:rFonts w:eastAsia="Times New Roman" w:cs="Times New Roman"/>
          <w:b/>
          <w:bCs/>
          <w:color w:val="4A4A4A"/>
          <w:sz w:val="21"/>
          <w:szCs w:val="21"/>
          <w:lang w:val="es-MX" w:eastAsia="en-GB"/>
        </w:rPr>
        <w:t>URL:</w:t>
      </w:r>
      <w:r w:rsidR="0019518A" w:rsidRPr="002A5DCD">
        <w:rPr>
          <w:rFonts w:eastAsia="Times New Roman" w:cs="Times New Roman"/>
          <w:b/>
          <w:bCs/>
          <w:color w:val="4A4A4A"/>
          <w:sz w:val="21"/>
          <w:szCs w:val="21"/>
          <w:lang w:val="es-MX" w:eastAsia="en-GB"/>
        </w:rPr>
        <w:t xml:space="preserve"> </w:t>
      </w:r>
    </w:p>
    <w:p w14:paraId="3575C393" w14:textId="2A7FAA94" w:rsidR="00C32428" w:rsidRPr="002A5DCD" w:rsidRDefault="00153DA0" w:rsidP="00C32428">
      <w:pPr>
        <w:shd w:val="clear" w:color="auto" w:fill="FFFFFF"/>
        <w:spacing w:after="0"/>
        <w:rPr>
          <w:rFonts w:eastAsia="Times New Roman" w:cs="Times New Roman"/>
          <w:color w:val="4A4A4A"/>
          <w:lang w:val="es-MX" w:eastAsia="en-GB"/>
        </w:rPr>
      </w:pPr>
      <w:hyperlink r:id="rId12" w:history="1">
        <w:r w:rsidR="00DF11E3" w:rsidRPr="002A5DCD">
          <w:rPr>
            <w:rStyle w:val="Hyperlink"/>
            <w:rFonts w:eastAsia="Times New Roman" w:cs="Times New Roman"/>
            <w:lang w:val="es-MX" w:eastAsia="en-GB"/>
          </w:rPr>
          <w:t>https://www.unodc.org/unodc/en/data-and-analysis/index.html?ref=menuside</w:t>
        </w:r>
      </w:hyperlink>
    </w:p>
    <w:p w14:paraId="0A726C62" w14:textId="77777777" w:rsidR="00DF11E3" w:rsidRPr="002A5DCD" w:rsidRDefault="00DF11E3" w:rsidP="00C32428">
      <w:pPr>
        <w:shd w:val="clear" w:color="auto" w:fill="FFFFFF"/>
        <w:spacing w:after="0"/>
        <w:rPr>
          <w:rFonts w:eastAsia="Times New Roman" w:cs="Times New Roman"/>
          <w:color w:val="4A4A4A"/>
          <w:lang w:val="es-MX" w:eastAsia="en-GB"/>
        </w:rPr>
      </w:pPr>
    </w:p>
    <w:p w14:paraId="08B3D00D" w14:textId="36BA774E" w:rsidR="00AD1CED" w:rsidRPr="002A5DCD" w:rsidRDefault="00153DA0" w:rsidP="00C32428">
      <w:pPr>
        <w:shd w:val="clear" w:color="auto" w:fill="FFFFFF"/>
        <w:spacing w:after="0"/>
        <w:rPr>
          <w:rFonts w:eastAsia="Times New Roman" w:cs="Times New Roman"/>
          <w:color w:val="4A4A4A"/>
          <w:lang w:val="es-MX" w:eastAsia="en-GB"/>
        </w:rPr>
      </w:pPr>
      <w:hyperlink r:id="rId13" w:history="1">
        <w:r w:rsidR="00DF11E3" w:rsidRPr="002A5DCD">
          <w:rPr>
            <w:rStyle w:val="Hyperlink"/>
            <w:lang w:val="es-MX"/>
          </w:rPr>
          <w:t>https://www.oecd.org/governance/legal-needs-surveys-and-access-to-justice-g2g9a36c-en.htm</w:t>
        </w:r>
      </w:hyperlink>
    </w:p>
    <w:p w14:paraId="02D73456" w14:textId="0316F430" w:rsidR="007A66EE" w:rsidRPr="002A5DCD" w:rsidRDefault="007A66EE">
      <w:pPr>
        <w:rPr>
          <w:iCs/>
          <w:sz w:val="36"/>
          <w:szCs w:val="36"/>
          <w:lang w:val="es-MX"/>
        </w:rPr>
      </w:pPr>
    </w:p>
    <w:p w14:paraId="38E5B0A6" w14:textId="77777777" w:rsidR="00AC4AE1" w:rsidRPr="002E2ACD" w:rsidRDefault="00AC4AE1" w:rsidP="002E2ACD">
      <w:pPr>
        <w:jc w:val="center"/>
        <w:rPr>
          <w:lang w:val="es-MX"/>
        </w:rPr>
      </w:pPr>
    </w:p>
    <w:sectPr w:rsidR="00AC4AE1" w:rsidRPr="002E2ACD">
      <w:footerReference w:type="default" r:id="rId14"/>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B44605" w14:textId="77777777" w:rsidR="00844961" w:rsidRDefault="00844961" w:rsidP="00D17EAE">
      <w:pPr>
        <w:spacing w:after="0" w:line="240" w:lineRule="auto"/>
      </w:pPr>
      <w:r>
        <w:separator/>
      </w:r>
    </w:p>
  </w:endnote>
  <w:endnote w:type="continuationSeparator" w:id="0">
    <w:p w14:paraId="0EBAA18F" w14:textId="77777777" w:rsidR="00844961" w:rsidRDefault="00844961" w:rsidP="00D17EA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charset w:val="00"/>
    <w:family w:val="auto"/>
    <w:pitch w:val="variable"/>
    <w:sig w:usb0="E0002AEF" w:usb1="C0007841"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21667507"/>
      <w:docPartObj>
        <w:docPartGallery w:val="Page Numbers (Bottom of Page)"/>
        <w:docPartUnique/>
      </w:docPartObj>
    </w:sdtPr>
    <w:sdtEndPr>
      <w:rPr>
        <w:noProof/>
      </w:rPr>
    </w:sdtEndPr>
    <w:sdtContent>
      <w:p w14:paraId="51B5CE6A" w14:textId="3969645B" w:rsidR="00844961" w:rsidRDefault="00844961">
        <w:pPr>
          <w:pStyle w:val="Footer"/>
          <w:jc w:val="center"/>
        </w:pPr>
        <w:r>
          <w:fldChar w:fldCharType="begin"/>
        </w:r>
        <w:r>
          <w:instrText xml:space="preserve"> PAGE   \* MERGEFORMAT </w:instrText>
        </w:r>
        <w:r>
          <w:fldChar w:fldCharType="separate"/>
        </w:r>
        <w:r>
          <w:rPr>
            <w:noProof/>
          </w:rPr>
          <w:t>8</w:t>
        </w:r>
        <w:r>
          <w:rPr>
            <w:noProof/>
          </w:rPr>
          <w:fldChar w:fldCharType="end"/>
        </w:r>
      </w:p>
    </w:sdtContent>
  </w:sdt>
  <w:p w14:paraId="3289EB88" w14:textId="77777777" w:rsidR="00844961" w:rsidRDefault="0084496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12E406" w14:textId="77777777" w:rsidR="00844961" w:rsidRDefault="00844961" w:rsidP="00D17EAE">
      <w:pPr>
        <w:spacing w:after="0" w:line="240" w:lineRule="auto"/>
      </w:pPr>
      <w:r>
        <w:separator/>
      </w:r>
    </w:p>
  </w:footnote>
  <w:footnote w:type="continuationSeparator" w:id="0">
    <w:p w14:paraId="22F5152D" w14:textId="77777777" w:rsidR="00844961" w:rsidRDefault="00844961" w:rsidP="00D17EAE">
      <w:pPr>
        <w:spacing w:after="0" w:line="240" w:lineRule="auto"/>
      </w:pPr>
      <w:r>
        <w:continuationSeparator/>
      </w:r>
    </w:p>
  </w:footnote>
  <w:footnote w:id="1">
    <w:p w14:paraId="79E6DB97" w14:textId="77777777" w:rsidR="00844961" w:rsidRPr="00064508" w:rsidRDefault="00844961" w:rsidP="00362F0D">
      <w:pPr>
        <w:pStyle w:val="FootnoteText"/>
        <w:rPr>
          <w:sz w:val="18"/>
          <w:szCs w:val="18"/>
        </w:rPr>
      </w:pPr>
      <w:r w:rsidRPr="00064508">
        <w:rPr>
          <w:rStyle w:val="FootnoteReference"/>
          <w:sz w:val="18"/>
          <w:szCs w:val="18"/>
        </w:rPr>
        <w:footnoteRef/>
      </w:r>
      <w:r w:rsidRPr="00064508">
        <w:rPr>
          <w:sz w:val="18"/>
          <w:szCs w:val="18"/>
        </w:rPr>
        <w:t xml:space="preserve"> </w:t>
      </w:r>
      <w:r w:rsidRPr="00064508">
        <w:rPr>
          <w:i/>
          <w:sz w:val="18"/>
          <w:szCs w:val="18"/>
        </w:rPr>
        <w:t xml:space="preserve">Praia Group Handbook on Governance Statistics: Access to and Quality of Justice </w:t>
      </w:r>
      <w:r w:rsidRPr="00064508">
        <w:rPr>
          <w:sz w:val="18"/>
          <w:szCs w:val="18"/>
        </w:rPr>
        <w:t>(forthcoming 2019).</w:t>
      </w:r>
    </w:p>
  </w:footnote>
  <w:footnote w:id="2">
    <w:p w14:paraId="288334DB" w14:textId="77777777" w:rsidR="00844961" w:rsidRPr="00477CA6" w:rsidRDefault="00844961" w:rsidP="00FB1E55">
      <w:pPr>
        <w:pStyle w:val="FootnoteText"/>
        <w:rPr>
          <w:i/>
          <w:iCs/>
        </w:rPr>
      </w:pPr>
      <w:r>
        <w:rPr>
          <w:rStyle w:val="FootnoteReference"/>
        </w:rPr>
        <w:footnoteRef/>
      </w:r>
      <w:r>
        <w:t xml:space="preserve"> </w:t>
      </w:r>
      <w:proofErr w:type="spellStart"/>
      <w:r w:rsidRPr="00477CA6">
        <w:t>Genn</w:t>
      </w:r>
      <w:proofErr w:type="spellEnd"/>
      <w:r w:rsidRPr="00477CA6">
        <w:t xml:space="preserve">, G, </w:t>
      </w:r>
      <w:r w:rsidRPr="00477CA6">
        <w:rPr>
          <w:i/>
          <w:iCs/>
        </w:rPr>
        <w:t xml:space="preserve">Paths to Justice: What People Do and Think About Going to Law </w:t>
      </w:r>
      <w:r w:rsidRPr="00477CA6">
        <w:rPr>
          <w:iCs/>
        </w:rPr>
        <w:t>(</w:t>
      </w:r>
      <w:r w:rsidRPr="00477CA6">
        <w:t>Oxford: Hart, 1999), 12.</w:t>
      </w:r>
    </w:p>
  </w:footnote>
  <w:footnote w:id="3">
    <w:p w14:paraId="04575B19" w14:textId="420B102A" w:rsidR="00844961" w:rsidRPr="00DA42B0" w:rsidRDefault="00844961" w:rsidP="00DA42B0">
      <w:pPr>
        <w:shd w:val="clear" w:color="auto" w:fill="FFFFFF" w:themeFill="background1"/>
        <w:spacing w:after="200" w:line="276" w:lineRule="auto"/>
        <w:jc w:val="both"/>
        <w:rPr>
          <w:rFonts w:ascii="Calibri" w:hAnsi="Calibri" w:cs="Calibri"/>
          <w:color w:val="000000" w:themeColor="text1"/>
          <w:sz w:val="21"/>
          <w:szCs w:val="21"/>
          <w:lang w:eastAsia="en-GB"/>
        </w:rPr>
      </w:pPr>
      <w:r>
        <w:rPr>
          <w:rStyle w:val="FootnoteReference"/>
        </w:rPr>
        <w:footnoteRef/>
      </w:r>
      <w:r>
        <w:t xml:space="preserve"> </w:t>
      </w:r>
      <w:r w:rsidRPr="00DA42B0">
        <w:rPr>
          <w:rFonts w:ascii="Calibri" w:hAnsi="Calibri" w:cs="Calibri"/>
          <w:color w:val="000000" w:themeColor="text1"/>
          <w:sz w:val="20"/>
          <w:szCs w:val="20"/>
          <w:lang w:eastAsia="en-GB"/>
        </w:rPr>
        <w:t xml:space="preserve">See </w:t>
      </w:r>
      <w:hyperlink r:id="rId1" w:history="1">
        <w:r w:rsidRPr="00DA42B0">
          <w:rPr>
            <w:rStyle w:val="Hyperlink"/>
            <w:rFonts w:ascii="Calibri" w:hAnsi="Calibri" w:cs="Calibri"/>
            <w:i/>
            <w:sz w:val="20"/>
            <w:szCs w:val="20"/>
            <w:lang w:eastAsia="en-GB"/>
          </w:rPr>
          <w:t>Legal Needs Surveys and Access to Justice</w:t>
        </w:r>
      </w:hyperlink>
      <w:r w:rsidRPr="00DA42B0">
        <w:rPr>
          <w:rFonts w:ascii="Calibri" w:hAnsi="Calibri" w:cs="Calibri"/>
          <w:i/>
          <w:color w:val="000000" w:themeColor="text1"/>
          <w:sz w:val="20"/>
          <w:szCs w:val="20"/>
          <w:lang w:eastAsia="en-GB"/>
        </w:rPr>
        <w:t xml:space="preserve"> </w:t>
      </w:r>
      <w:r w:rsidRPr="00DA42B0">
        <w:rPr>
          <w:rFonts w:ascii="Calibri" w:hAnsi="Calibri" w:cs="Calibri"/>
          <w:color w:val="000000" w:themeColor="text1"/>
          <w:sz w:val="20"/>
          <w:szCs w:val="20"/>
          <w:lang w:eastAsia="en-GB"/>
        </w:rPr>
        <w:t>, OECD (2019)</w:t>
      </w:r>
      <w:r>
        <w:rPr>
          <w:rFonts w:ascii="Calibri" w:hAnsi="Calibri" w:cs="Calibri"/>
          <w:color w:val="000000" w:themeColor="text1"/>
          <w:sz w:val="21"/>
          <w:szCs w:val="21"/>
          <w:lang w:eastAsia="en-GB"/>
        </w:rPr>
        <w:t xml:space="preserve"> </w:t>
      </w:r>
    </w:p>
  </w:footnote>
  <w:footnote w:id="4">
    <w:p w14:paraId="4C8F78EB" w14:textId="094B551B" w:rsidR="00844961" w:rsidRPr="00DC359F" w:rsidRDefault="00844961" w:rsidP="00987851">
      <w:pPr>
        <w:pStyle w:val="FootnoteText"/>
        <w:rPr>
          <w:lang w:val="en-GB"/>
        </w:rPr>
      </w:pPr>
      <w:r>
        <w:rPr>
          <w:rStyle w:val="FootnoteReference"/>
        </w:rPr>
        <w:footnoteRef/>
      </w:r>
      <w:r>
        <w:t xml:space="preserve"> See </w:t>
      </w:r>
      <w:r>
        <w:rPr>
          <w:lang w:val="en-GB"/>
        </w:rPr>
        <w:t>Question I5 in Annex A for more information.</w:t>
      </w:r>
    </w:p>
  </w:footnote>
  <w:footnote w:id="5">
    <w:p w14:paraId="4D20712C" w14:textId="657BF5F8" w:rsidR="00844961" w:rsidRDefault="00844961">
      <w:pPr>
        <w:pStyle w:val="FootnoteText"/>
      </w:pPr>
      <w:r>
        <w:rPr>
          <w:rStyle w:val="FootnoteReference"/>
        </w:rPr>
        <w:footnoteRef/>
      </w:r>
      <w:r>
        <w:t xml:space="preserve"> </w:t>
      </w:r>
      <w:r w:rsidRPr="008B10FD">
        <w:t xml:space="preserve">These types of disputes have broad applicability across countries </w:t>
      </w:r>
      <w:r>
        <w:t xml:space="preserve">as reflected in </w:t>
      </w:r>
      <w:hyperlink r:id="rId2" w:history="1">
        <w:r w:rsidRPr="00DA42B0">
          <w:rPr>
            <w:rStyle w:val="Hyperlink"/>
            <w:i/>
            <w:lang w:eastAsia="en-GB"/>
          </w:rPr>
          <w:t>Legal Needs Surveys and Access to Justice</w:t>
        </w:r>
      </w:hyperlink>
      <w:r w:rsidRPr="00DA42B0">
        <w:rPr>
          <w:i/>
          <w:color w:val="000000" w:themeColor="text1"/>
          <w:lang w:eastAsia="en-GB"/>
        </w:rPr>
        <w:t xml:space="preserve"> </w:t>
      </w:r>
      <w:r w:rsidRPr="00DA42B0">
        <w:rPr>
          <w:color w:val="000000" w:themeColor="text1"/>
          <w:lang w:eastAsia="en-GB"/>
        </w:rPr>
        <w:t>, OECD (2019)</w:t>
      </w:r>
      <w:r w:rsidRPr="008B10FD">
        <w:t>, which builds upon a review of more than 60 large-scale legal need surveys conducted over the past 25 years.</w:t>
      </w:r>
    </w:p>
  </w:footnote>
  <w:footnote w:id="6">
    <w:p w14:paraId="24106EB7" w14:textId="77777777" w:rsidR="00844961" w:rsidRPr="00644D8A" w:rsidRDefault="00844961" w:rsidP="00305ECB">
      <w:pPr>
        <w:pStyle w:val="FootnoteText"/>
        <w:rPr>
          <w:rFonts w:ascii="TimesNewRomanPSMT" w:hAnsi="TimesNewRomanPSMT" w:cs="TimesNewRomanPSMT"/>
        </w:rPr>
      </w:pPr>
      <w:r>
        <w:rPr>
          <w:rStyle w:val="FootnoteReference"/>
        </w:rPr>
        <w:footnoteRef/>
      </w:r>
      <w:r>
        <w:t xml:space="preserve"> </w:t>
      </w:r>
      <w:r w:rsidRPr="00644D8A">
        <w:rPr>
          <w:lang w:val="en-GB"/>
        </w:rPr>
        <w:t>Experimental evidence indicates that increasing a legal needs survey’s reference period from one to three years has only “a fairly modest” impact on problem reporting</w:t>
      </w:r>
      <w:r>
        <w:rPr>
          <w:lang w:val="en-GB"/>
        </w:rPr>
        <w:t xml:space="preserve"> [</w:t>
      </w:r>
      <w:proofErr w:type="spellStart"/>
      <w:r w:rsidRPr="00644D8A">
        <w:rPr>
          <w:lang w:val="en-GB"/>
        </w:rPr>
        <w:t>Pleasence</w:t>
      </w:r>
      <w:proofErr w:type="spellEnd"/>
      <w:r w:rsidRPr="00644D8A">
        <w:rPr>
          <w:lang w:val="en-GB"/>
        </w:rPr>
        <w:t xml:space="preserve"> et al. (2016)]</w:t>
      </w:r>
    </w:p>
  </w:footnote>
  <w:footnote w:id="7">
    <w:p w14:paraId="371EB486" w14:textId="77777777" w:rsidR="00844961" w:rsidRDefault="00844961">
      <w:pPr>
        <w:pStyle w:val="FootnoteText"/>
      </w:pPr>
      <w:r>
        <w:rPr>
          <w:rStyle w:val="FootnoteReference"/>
        </w:rPr>
        <w:footnoteRef/>
      </w:r>
      <w:r>
        <w:t xml:space="preserve"> If this additional indicator is approved, relevant data will be collected through the UN Crime trends Survey (UN-CTS), the annual questionnaire on crime and criminal justice administered by UNODC</w:t>
      </w:r>
    </w:p>
  </w:footnote>
  <w:footnote w:id="8">
    <w:p w14:paraId="2C17246F" w14:textId="5132693E" w:rsidR="00844961" w:rsidRPr="0028012D" w:rsidRDefault="00844961" w:rsidP="0072054F">
      <w:pPr>
        <w:pStyle w:val="FootnoteText"/>
        <w:rPr>
          <w:sz w:val="18"/>
          <w:szCs w:val="18"/>
        </w:rPr>
      </w:pPr>
      <w:r>
        <w:rPr>
          <w:rStyle w:val="FootnoteReference"/>
        </w:rPr>
        <w:footnoteRef/>
      </w:r>
      <w:r>
        <w:t xml:space="preserve"> </w:t>
      </w:r>
      <w:r w:rsidRPr="00064508">
        <w:rPr>
          <w:sz w:val="18"/>
          <w:szCs w:val="18"/>
        </w:rPr>
        <w:t xml:space="preserve">Elaboration based on </w:t>
      </w:r>
      <w:r w:rsidRPr="00064508">
        <w:rPr>
          <w:i/>
          <w:sz w:val="18"/>
          <w:szCs w:val="18"/>
        </w:rPr>
        <w:t xml:space="preserve">Legal Needs Surveys and Access to Justice </w:t>
      </w:r>
      <w:r w:rsidRPr="00064508">
        <w:rPr>
          <w:sz w:val="18"/>
          <w:szCs w:val="18"/>
        </w:rPr>
        <w:t>(2018) and web searches.</w:t>
      </w:r>
      <w:r w:rsidR="00DB6862">
        <w:rPr>
          <w:sz w:val="18"/>
          <w:szCs w:val="18"/>
        </w:rP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AC167B"/>
    <w:multiLevelType w:val="hybridMultilevel"/>
    <w:tmpl w:val="6BC03F26"/>
    <w:lvl w:ilvl="0" w:tplc="4266B1D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1E4350"/>
    <w:multiLevelType w:val="hybridMultilevel"/>
    <w:tmpl w:val="5A5E4F22"/>
    <w:lvl w:ilvl="0" w:tplc="6046D88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5410CA2"/>
    <w:multiLevelType w:val="hybridMultilevel"/>
    <w:tmpl w:val="857C65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F33261C"/>
    <w:multiLevelType w:val="hybridMultilevel"/>
    <w:tmpl w:val="529A2D10"/>
    <w:lvl w:ilvl="0" w:tplc="616CC216">
      <w:start w:val="1"/>
      <w:numFmt w:val="lowerLetter"/>
      <w:lvlText w:val="%1."/>
      <w:lvlJc w:val="left"/>
      <w:pPr>
        <w:tabs>
          <w:tab w:val="num" w:pos="360"/>
        </w:tabs>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0396571"/>
    <w:multiLevelType w:val="hybridMultilevel"/>
    <w:tmpl w:val="A002FD5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5FE42C8"/>
    <w:multiLevelType w:val="hybridMultilevel"/>
    <w:tmpl w:val="24FC45CC"/>
    <w:lvl w:ilvl="0" w:tplc="ADD0832A">
      <w:start w:val="1"/>
      <w:numFmt w:val="decimal"/>
      <w:lvlText w:val="%1...."/>
      <w:lvlJc w:val="left"/>
      <w:pPr>
        <w:ind w:left="720" w:hanging="360"/>
      </w:pPr>
      <w:rPr>
        <w:rFonts w:hint="default"/>
      </w:rPr>
    </w:lvl>
    <w:lvl w:ilvl="1" w:tplc="CDBEAD18">
      <w:start w:val="1"/>
      <w:numFmt w:val="decimal"/>
      <w:lvlText w:val="%2...."/>
      <w:lvlJc w:val="left"/>
      <w:pPr>
        <w:ind w:left="1440" w:hanging="360"/>
      </w:pPr>
      <w:rPr>
        <w:rFonts w:hint="default"/>
      </w:rPr>
    </w:lvl>
    <w:lvl w:ilvl="2" w:tplc="6B5892A2">
      <w:start w:val="1"/>
      <w:numFmt w:val="decimal"/>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74372CC"/>
    <w:multiLevelType w:val="hybridMultilevel"/>
    <w:tmpl w:val="A462EDF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2812762F"/>
    <w:multiLevelType w:val="hybridMultilevel"/>
    <w:tmpl w:val="DF683E7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31E601F0"/>
    <w:multiLevelType w:val="hybridMultilevel"/>
    <w:tmpl w:val="F15CDC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3521B58"/>
    <w:multiLevelType w:val="hybridMultilevel"/>
    <w:tmpl w:val="832240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F630624"/>
    <w:multiLevelType w:val="hybridMultilevel"/>
    <w:tmpl w:val="925AF080"/>
    <w:lvl w:ilvl="0" w:tplc="04090019">
      <w:start w:val="1"/>
      <w:numFmt w:val="lowerLetter"/>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15:restartNumberingAfterBreak="0">
    <w:nsid w:val="3F7E11ED"/>
    <w:multiLevelType w:val="hybridMultilevel"/>
    <w:tmpl w:val="8EBA1F68"/>
    <w:lvl w:ilvl="0" w:tplc="0409000F">
      <w:start w:val="1"/>
      <w:numFmt w:val="decimal"/>
      <w:lvlText w:val="%1."/>
      <w:lvlJc w:val="left"/>
      <w:pPr>
        <w:ind w:left="765" w:hanging="360"/>
      </w:pPr>
    </w:lvl>
    <w:lvl w:ilvl="1" w:tplc="04090019" w:tentative="1">
      <w:start w:val="1"/>
      <w:numFmt w:val="lowerLetter"/>
      <w:lvlText w:val="%2."/>
      <w:lvlJc w:val="left"/>
      <w:pPr>
        <w:ind w:left="1485" w:hanging="360"/>
      </w:pPr>
    </w:lvl>
    <w:lvl w:ilvl="2" w:tplc="0409001B" w:tentative="1">
      <w:start w:val="1"/>
      <w:numFmt w:val="lowerRoman"/>
      <w:lvlText w:val="%3."/>
      <w:lvlJc w:val="right"/>
      <w:pPr>
        <w:ind w:left="2205" w:hanging="180"/>
      </w:pPr>
    </w:lvl>
    <w:lvl w:ilvl="3" w:tplc="0409000F" w:tentative="1">
      <w:start w:val="1"/>
      <w:numFmt w:val="decimal"/>
      <w:lvlText w:val="%4."/>
      <w:lvlJc w:val="left"/>
      <w:pPr>
        <w:ind w:left="2925" w:hanging="360"/>
      </w:pPr>
    </w:lvl>
    <w:lvl w:ilvl="4" w:tplc="04090019" w:tentative="1">
      <w:start w:val="1"/>
      <w:numFmt w:val="lowerLetter"/>
      <w:lvlText w:val="%5."/>
      <w:lvlJc w:val="left"/>
      <w:pPr>
        <w:ind w:left="3645" w:hanging="360"/>
      </w:pPr>
    </w:lvl>
    <w:lvl w:ilvl="5" w:tplc="0409001B" w:tentative="1">
      <w:start w:val="1"/>
      <w:numFmt w:val="lowerRoman"/>
      <w:lvlText w:val="%6."/>
      <w:lvlJc w:val="right"/>
      <w:pPr>
        <w:ind w:left="4365" w:hanging="180"/>
      </w:pPr>
    </w:lvl>
    <w:lvl w:ilvl="6" w:tplc="0409000F" w:tentative="1">
      <w:start w:val="1"/>
      <w:numFmt w:val="decimal"/>
      <w:lvlText w:val="%7."/>
      <w:lvlJc w:val="left"/>
      <w:pPr>
        <w:ind w:left="5085" w:hanging="360"/>
      </w:pPr>
    </w:lvl>
    <w:lvl w:ilvl="7" w:tplc="04090019" w:tentative="1">
      <w:start w:val="1"/>
      <w:numFmt w:val="lowerLetter"/>
      <w:lvlText w:val="%8."/>
      <w:lvlJc w:val="left"/>
      <w:pPr>
        <w:ind w:left="5805" w:hanging="360"/>
      </w:pPr>
    </w:lvl>
    <w:lvl w:ilvl="8" w:tplc="0409001B" w:tentative="1">
      <w:start w:val="1"/>
      <w:numFmt w:val="lowerRoman"/>
      <w:lvlText w:val="%9."/>
      <w:lvlJc w:val="right"/>
      <w:pPr>
        <w:ind w:left="6525" w:hanging="180"/>
      </w:pPr>
    </w:lvl>
  </w:abstractNum>
  <w:abstractNum w:abstractNumId="12" w15:restartNumberingAfterBreak="0">
    <w:nsid w:val="43A8563E"/>
    <w:multiLevelType w:val="hybridMultilevel"/>
    <w:tmpl w:val="E0E0962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48285C4A"/>
    <w:multiLevelType w:val="hybridMultilevel"/>
    <w:tmpl w:val="A002FD5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49D81861"/>
    <w:multiLevelType w:val="hybridMultilevel"/>
    <w:tmpl w:val="D89A12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AA442B0"/>
    <w:multiLevelType w:val="hybridMultilevel"/>
    <w:tmpl w:val="43C8BC6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4FED0FEF"/>
    <w:multiLevelType w:val="hybridMultilevel"/>
    <w:tmpl w:val="238289F2"/>
    <w:lvl w:ilvl="0" w:tplc="BD76E2B6">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13355FF"/>
    <w:multiLevelType w:val="hybridMultilevel"/>
    <w:tmpl w:val="B76E732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51F442C7"/>
    <w:multiLevelType w:val="hybridMultilevel"/>
    <w:tmpl w:val="2C18F22C"/>
    <w:lvl w:ilvl="0" w:tplc="4266B1D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42816B7"/>
    <w:multiLevelType w:val="hybridMultilevel"/>
    <w:tmpl w:val="597A1A9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A9229E7"/>
    <w:multiLevelType w:val="hybridMultilevel"/>
    <w:tmpl w:val="6BD662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CA36ACA"/>
    <w:multiLevelType w:val="hybridMultilevel"/>
    <w:tmpl w:val="979CD1D6"/>
    <w:lvl w:ilvl="0" w:tplc="B7C231B0">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1494ACE"/>
    <w:multiLevelType w:val="hybridMultilevel"/>
    <w:tmpl w:val="E7D4317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4B21CFE"/>
    <w:multiLevelType w:val="hybridMultilevel"/>
    <w:tmpl w:val="976A376A"/>
    <w:lvl w:ilvl="0" w:tplc="16C618C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58667E7"/>
    <w:multiLevelType w:val="hybridMultilevel"/>
    <w:tmpl w:val="DF683E7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75B334E2"/>
    <w:multiLevelType w:val="hybridMultilevel"/>
    <w:tmpl w:val="0D1C4E70"/>
    <w:lvl w:ilvl="0" w:tplc="ADD0832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768404A1"/>
    <w:multiLevelType w:val="hybridMultilevel"/>
    <w:tmpl w:val="90B037D4"/>
    <w:lvl w:ilvl="0" w:tplc="C1B6E64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AA7205E"/>
    <w:multiLevelType w:val="hybridMultilevel"/>
    <w:tmpl w:val="872890BA"/>
    <w:lvl w:ilvl="0" w:tplc="2F9CFF66">
      <w:start w:val="16"/>
      <w:numFmt w:val="bullet"/>
      <w:lvlText w:val="-"/>
      <w:lvlJc w:val="left"/>
      <w:pPr>
        <w:ind w:left="720" w:hanging="360"/>
      </w:pPr>
      <w:rPr>
        <w:rFonts w:ascii="Calibri" w:eastAsiaTheme="minorEastAsia"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BAE2229"/>
    <w:multiLevelType w:val="hybridMultilevel"/>
    <w:tmpl w:val="8EBA1F68"/>
    <w:lvl w:ilvl="0" w:tplc="0409000F">
      <w:start w:val="1"/>
      <w:numFmt w:val="decimal"/>
      <w:lvlText w:val="%1."/>
      <w:lvlJc w:val="left"/>
      <w:pPr>
        <w:ind w:left="765" w:hanging="360"/>
      </w:pPr>
    </w:lvl>
    <w:lvl w:ilvl="1" w:tplc="04090019" w:tentative="1">
      <w:start w:val="1"/>
      <w:numFmt w:val="lowerLetter"/>
      <w:lvlText w:val="%2."/>
      <w:lvlJc w:val="left"/>
      <w:pPr>
        <w:ind w:left="1485" w:hanging="360"/>
      </w:pPr>
    </w:lvl>
    <w:lvl w:ilvl="2" w:tplc="0409001B" w:tentative="1">
      <w:start w:val="1"/>
      <w:numFmt w:val="lowerRoman"/>
      <w:lvlText w:val="%3."/>
      <w:lvlJc w:val="right"/>
      <w:pPr>
        <w:ind w:left="2205" w:hanging="180"/>
      </w:pPr>
    </w:lvl>
    <w:lvl w:ilvl="3" w:tplc="0409000F" w:tentative="1">
      <w:start w:val="1"/>
      <w:numFmt w:val="decimal"/>
      <w:lvlText w:val="%4."/>
      <w:lvlJc w:val="left"/>
      <w:pPr>
        <w:ind w:left="2925" w:hanging="360"/>
      </w:pPr>
    </w:lvl>
    <w:lvl w:ilvl="4" w:tplc="04090019" w:tentative="1">
      <w:start w:val="1"/>
      <w:numFmt w:val="lowerLetter"/>
      <w:lvlText w:val="%5."/>
      <w:lvlJc w:val="left"/>
      <w:pPr>
        <w:ind w:left="3645" w:hanging="360"/>
      </w:pPr>
    </w:lvl>
    <w:lvl w:ilvl="5" w:tplc="0409001B" w:tentative="1">
      <w:start w:val="1"/>
      <w:numFmt w:val="lowerRoman"/>
      <w:lvlText w:val="%6."/>
      <w:lvlJc w:val="right"/>
      <w:pPr>
        <w:ind w:left="4365" w:hanging="180"/>
      </w:pPr>
    </w:lvl>
    <w:lvl w:ilvl="6" w:tplc="0409000F" w:tentative="1">
      <w:start w:val="1"/>
      <w:numFmt w:val="decimal"/>
      <w:lvlText w:val="%7."/>
      <w:lvlJc w:val="left"/>
      <w:pPr>
        <w:ind w:left="5085" w:hanging="360"/>
      </w:pPr>
    </w:lvl>
    <w:lvl w:ilvl="7" w:tplc="04090019" w:tentative="1">
      <w:start w:val="1"/>
      <w:numFmt w:val="lowerLetter"/>
      <w:lvlText w:val="%8."/>
      <w:lvlJc w:val="left"/>
      <w:pPr>
        <w:ind w:left="5805" w:hanging="360"/>
      </w:pPr>
    </w:lvl>
    <w:lvl w:ilvl="8" w:tplc="0409001B" w:tentative="1">
      <w:start w:val="1"/>
      <w:numFmt w:val="lowerRoman"/>
      <w:lvlText w:val="%9."/>
      <w:lvlJc w:val="right"/>
      <w:pPr>
        <w:ind w:left="6525" w:hanging="180"/>
      </w:pPr>
    </w:lvl>
  </w:abstractNum>
  <w:num w:numId="1">
    <w:abstractNumId w:val="19"/>
  </w:num>
  <w:num w:numId="2">
    <w:abstractNumId w:val="4"/>
  </w:num>
  <w:num w:numId="3">
    <w:abstractNumId w:val="13"/>
  </w:num>
  <w:num w:numId="4">
    <w:abstractNumId w:val="15"/>
  </w:num>
  <w:num w:numId="5">
    <w:abstractNumId w:val="27"/>
  </w:num>
  <w:num w:numId="6">
    <w:abstractNumId w:val="10"/>
  </w:num>
  <w:num w:numId="7">
    <w:abstractNumId w:val="5"/>
  </w:num>
  <w:num w:numId="8">
    <w:abstractNumId w:val="17"/>
  </w:num>
  <w:num w:numId="9">
    <w:abstractNumId w:val="2"/>
  </w:num>
  <w:num w:numId="10">
    <w:abstractNumId w:val="14"/>
  </w:num>
  <w:num w:numId="11">
    <w:abstractNumId w:val="7"/>
  </w:num>
  <w:num w:numId="12">
    <w:abstractNumId w:val="24"/>
  </w:num>
  <w:num w:numId="13">
    <w:abstractNumId w:val="9"/>
  </w:num>
  <w:num w:numId="14">
    <w:abstractNumId w:val="8"/>
  </w:num>
  <w:num w:numId="15">
    <w:abstractNumId w:val="25"/>
  </w:num>
  <w:num w:numId="16">
    <w:abstractNumId w:val="18"/>
  </w:num>
  <w:num w:numId="17">
    <w:abstractNumId w:val="22"/>
  </w:num>
  <w:num w:numId="18">
    <w:abstractNumId w:val="0"/>
  </w:num>
  <w:num w:numId="19">
    <w:abstractNumId w:val="26"/>
  </w:num>
  <w:num w:numId="20">
    <w:abstractNumId w:val="6"/>
  </w:num>
  <w:num w:numId="21">
    <w:abstractNumId w:val="20"/>
  </w:num>
  <w:num w:numId="22">
    <w:abstractNumId w:val="16"/>
  </w:num>
  <w:num w:numId="23">
    <w:abstractNumId w:val="3"/>
  </w:num>
  <w:num w:numId="24">
    <w:abstractNumId w:val="1"/>
  </w:num>
  <w:num w:numId="25">
    <w:abstractNumId w:val="21"/>
  </w:num>
  <w:num w:numId="26">
    <w:abstractNumId w:val="28"/>
  </w:num>
  <w:num w:numId="27">
    <w:abstractNumId w:val="11"/>
  </w:num>
  <w:num w:numId="28">
    <w:abstractNumId w:val="23"/>
  </w:num>
  <w:num w:numId="2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revisionView w:markup="0"/>
  <w:trackRevisions/>
  <w:defaultTabStop w:val="720"/>
  <w:characterSpacingControl w:val="doNotCompress"/>
  <w:hdrShapeDefaults>
    <o:shapedefaults v:ext="edit" spidmax="1228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357"/>
    <w:rsid w:val="00015383"/>
    <w:rsid w:val="000244BF"/>
    <w:rsid w:val="00026E43"/>
    <w:rsid w:val="00027480"/>
    <w:rsid w:val="00041975"/>
    <w:rsid w:val="00060E14"/>
    <w:rsid w:val="0006548B"/>
    <w:rsid w:val="00066B31"/>
    <w:rsid w:val="00067DB9"/>
    <w:rsid w:val="000731F3"/>
    <w:rsid w:val="0007728C"/>
    <w:rsid w:val="0009435B"/>
    <w:rsid w:val="000A5CA8"/>
    <w:rsid w:val="000B26DF"/>
    <w:rsid w:val="00116356"/>
    <w:rsid w:val="0013335C"/>
    <w:rsid w:val="00153DA0"/>
    <w:rsid w:val="00154DA5"/>
    <w:rsid w:val="00175135"/>
    <w:rsid w:val="00176763"/>
    <w:rsid w:val="001775D6"/>
    <w:rsid w:val="001803EC"/>
    <w:rsid w:val="001870DC"/>
    <w:rsid w:val="00187A03"/>
    <w:rsid w:val="0019482A"/>
    <w:rsid w:val="0019518A"/>
    <w:rsid w:val="001D2145"/>
    <w:rsid w:val="001D4CFB"/>
    <w:rsid w:val="001E057E"/>
    <w:rsid w:val="001E09BD"/>
    <w:rsid w:val="001E110B"/>
    <w:rsid w:val="001F3584"/>
    <w:rsid w:val="001F4D62"/>
    <w:rsid w:val="00202E1C"/>
    <w:rsid w:val="0021683C"/>
    <w:rsid w:val="00226958"/>
    <w:rsid w:val="00230E0F"/>
    <w:rsid w:val="0023576D"/>
    <w:rsid w:val="00244BCE"/>
    <w:rsid w:val="002460D9"/>
    <w:rsid w:val="0024614E"/>
    <w:rsid w:val="002471E7"/>
    <w:rsid w:val="00256FEA"/>
    <w:rsid w:val="00257110"/>
    <w:rsid w:val="002661AE"/>
    <w:rsid w:val="00274C3A"/>
    <w:rsid w:val="00277A6B"/>
    <w:rsid w:val="00286D8D"/>
    <w:rsid w:val="002A4CB8"/>
    <w:rsid w:val="002A5DCD"/>
    <w:rsid w:val="002A6DCB"/>
    <w:rsid w:val="002B73B7"/>
    <w:rsid w:val="002C2DDB"/>
    <w:rsid w:val="002C4C2B"/>
    <w:rsid w:val="002C7FF9"/>
    <w:rsid w:val="002D41BB"/>
    <w:rsid w:val="002E2ACD"/>
    <w:rsid w:val="002E2DF9"/>
    <w:rsid w:val="002E7A67"/>
    <w:rsid w:val="002F0007"/>
    <w:rsid w:val="002F4E0C"/>
    <w:rsid w:val="002F59D6"/>
    <w:rsid w:val="002F7351"/>
    <w:rsid w:val="00301010"/>
    <w:rsid w:val="00305ECB"/>
    <w:rsid w:val="00314C9C"/>
    <w:rsid w:val="003255C3"/>
    <w:rsid w:val="00337230"/>
    <w:rsid w:val="003376C2"/>
    <w:rsid w:val="003431AD"/>
    <w:rsid w:val="003468B4"/>
    <w:rsid w:val="00362F0D"/>
    <w:rsid w:val="003755A5"/>
    <w:rsid w:val="00386D99"/>
    <w:rsid w:val="00392395"/>
    <w:rsid w:val="00393D30"/>
    <w:rsid w:val="003C5B97"/>
    <w:rsid w:val="003E49DC"/>
    <w:rsid w:val="003F2AA6"/>
    <w:rsid w:val="003F47F6"/>
    <w:rsid w:val="00405FD9"/>
    <w:rsid w:val="004110DD"/>
    <w:rsid w:val="00416624"/>
    <w:rsid w:val="00421004"/>
    <w:rsid w:val="00447B1C"/>
    <w:rsid w:val="004770D5"/>
    <w:rsid w:val="00487665"/>
    <w:rsid w:val="004920E5"/>
    <w:rsid w:val="004A0CE2"/>
    <w:rsid w:val="004A1AA6"/>
    <w:rsid w:val="004D02E0"/>
    <w:rsid w:val="004D13DF"/>
    <w:rsid w:val="00500D59"/>
    <w:rsid w:val="00513DBF"/>
    <w:rsid w:val="005218A0"/>
    <w:rsid w:val="00524623"/>
    <w:rsid w:val="0053583A"/>
    <w:rsid w:val="00535DD4"/>
    <w:rsid w:val="00540098"/>
    <w:rsid w:val="00542985"/>
    <w:rsid w:val="00544506"/>
    <w:rsid w:val="005454AB"/>
    <w:rsid w:val="005551C8"/>
    <w:rsid w:val="00561B90"/>
    <w:rsid w:val="00561E2F"/>
    <w:rsid w:val="00562FB7"/>
    <w:rsid w:val="00565730"/>
    <w:rsid w:val="005847AB"/>
    <w:rsid w:val="005942F3"/>
    <w:rsid w:val="00596B24"/>
    <w:rsid w:val="005A230B"/>
    <w:rsid w:val="005B2FFA"/>
    <w:rsid w:val="005D3354"/>
    <w:rsid w:val="005D54B8"/>
    <w:rsid w:val="005E2542"/>
    <w:rsid w:val="005E3E42"/>
    <w:rsid w:val="005E6EDB"/>
    <w:rsid w:val="005E76F6"/>
    <w:rsid w:val="005F6A7C"/>
    <w:rsid w:val="0061442E"/>
    <w:rsid w:val="00614DCC"/>
    <w:rsid w:val="00627DB0"/>
    <w:rsid w:val="00632586"/>
    <w:rsid w:val="006338D2"/>
    <w:rsid w:val="0063774F"/>
    <w:rsid w:val="00640051"/>
    <w:rsid w:val="006415FA"/>
    <w:rsid w:val="00644D8A"/>
    <w:rsid w:val="006631E8"/>
    <w:rsid w:val="00663898"/>
    <w:rsid w:val="00664CBC"/>
    <w:rsid w:val="00667000"/>
    <w:rsid w:val="006761E5"/>
    <w:rsid w:val="006848AC"/>
    <w:rsid w:val="00694745"/>
    <w:rsid w:val="006B28A1"/>
    <w:rsid w:val="006C074B"/>
    <w:rsid w:val="006D10FD"/>
    <w:rsid w:val="006D2BB3"/>
    <w:rsid w:val="006D37DB"/>
    <w:rsid w:val="006D4C95"/>
    <w:rsid w:val="006D529E"/>
    <w:rsid w:val="006E5B7E"/>
    <w:rsid w:val="00706EDB"/>
    <w:rsid w:val="00707889"/>
    <w:rsid w:val="007139DD"/>
    <w:rsid w:val="00716D28"/>
    <w:rsid w:val="00717A5C"/>
    <w:rsid w:val="0072054F"/>
    <w:rsid w:val="00721BD8"/>
    <w:rsid w:val="007228C8"/>
    <w:rsid w:val="007249D8"/>
    <w:rsid w:val="007338C7"/>
    <w:rsid w:val="007518F9"/>
    <w:rsid w:val="00757357"/>
    <w:rsid w:val="0076482C"/>
    <w:rsid w:val="0079152D"/>
    <w:rsid w:val="007A3090"/>
    <w:rsid w:val="007A66EE"/>
    <w:rsid w:val="007B1599"/>
    <w:rsid w:val="007B22DF"/>
    <w:rsid w:val="007B5BA8"/>
    <w:rsid w:val="007C4A61"/>
    <w:rsid w:val="007C7853"/>
    <w:rsid w:val="007D1F99"/>
    <w:rsid w:val="007D36E6"/>
    <w:rsid w:val="007D3CBB"/>
    <w:rsid w:val="007D7E91"/>
    <w:rsid w:val="007F0C9D"/>
    <w:rsid w:val="007F2D45"/>
    <w:rsid w:val="007F629E"/>
    <w:rsid w:val="00813E02"/>
    <w:rsid w:val="0082150D"/>
    <w:rsid w:val="00827976"/>
    <w:rsid w:val="008364E3"/>
    <w:rsid w:val="0084408A"/>
    <w:rsid w:val="00844961"/>
    <w:rsid w:val="0085590A"/>
    <w:rsid w:val="00860E31"/>
    <w:rsid w:val="008659A9"/>
    <w:rsid w:val="008725F5"/>
    <w:rsid w:val="00881E7B"/>
    <w:rsid w:val="00882642"/>
    <w:rsid w:val="008869F5"/>
    <w:rsid w:val="00890CA0"/>
    <w:rsid w:val="00891DC2"/>
    <w:rsid w:val="008A22AE"/>
    <w:rsid w:val="008A4CD1"/>
    <w:rsid w:val="008B101C"/>
    <w:rsid w:val="008B10FD"/>
    <w:rsid w:val="008C0D5E"/>
    <w:rsid w:val="008C2776"/>
    <w:rsid w:val="008C534C"/>
    <w:rsid w:val="008D219D"/>
    <w:rsid w:val="008E4B84"/>
    <w:rsid w:val="008F3727"/>
    <w:rsid w:val="009160F1"/>
    <w:rsid w:val="0094228F"/>
    <w:rsid w:val="009573B1"/>
    <w:rsid w:val="00960E1E"/>
    <w:rsid w:val="0098216B"/>
    <w:rsid w:val="00983EE2"/>
    <w:rsid w:val="00985642"/>
    <w:rsid w:val="00985852"/>
    <w:rsid w:val="00985AEB"/>
    <w:rsid w:val="00987851"/>
    <w:rsid w:val="00992787"/>
    <w:rsid w:val="009A7787"/>
    <w:rsid w:val="009B1356"/>
    <w:rsid w:val="009B3C65"/>
    <w:rsid w:val="009B4825"/>
    <w:rsid w:val="009B4E91"/>
    <w:rsid w:val="009B6174"/>
    <w:rsid w:val="009B61CB"/>
    <w:rsid w:val="009C3697"/>
    <w:rsid w:val="009C44E0"/>
    <w:rsid w:val="009E44A1"/>
    <w:rsid w:val="00A01AD2"/>
    <w:rsid w:val="00A47B64"/>
    <w:rsid w:val="00A629FB"/>
    <w:rsid w:val="00A653A1"/>
    <w:rsid w:val="00A668FE"/>
    <w:rsid w:val="00A8259D"/>
    <w:rsid w:val="00A8329B"/>
    <w:rsid w:val="00A87299"/>
    <w:rsid w:val="00A948B7"/>
    <w:rsid w:val="00A9651C"/>
    <w:rsid w:val="00AA4F43"/>
    <w:rsid w:val="00AA6A98"/>
    <w:rsid w:val="00AB7C20"/>
    <w:rsid w:val="00AC0863"/>
    <w:rsid w:val="00AC4AE1"/>
    <w:rsid w:val="00AC58E6"/>
    <w:rsid w:val="00AD1CED"/>
    <w:rsid w:val="00AE1980"/>
    <w:rsid w:val="00AF2585"/>
    <w:rsid w:val="00AF35EC"/>
    <w:rsid w:val="00AF39C1"/>
    <w:rsid w:val="00B26A55"/>
    <w:rsid w:val="00B54903"/>
    <w:rsid w:val="00B552F1"/>
    <w:rsid w:val="00B60149"/>
    <w:rsid w:val="00B7712F"/>
    <w:rsid w:val="00B91880"/>
    <w:rsid w:val="00B9302F"/>
    <w:rsid w:val="00B964E3"/>
    <w:rsid w:val="00B9702B"/>
    <w:rsid w:val="00B97742"/>
    <w:rsid w:val="00B97B93"/>
    <w:rsid w:val="00BA061A"/>
    <w:rsid w:val="00BA08C0"/>
    <w:rsid w:val="00BA5920"/>
    <w:rsid w:val="00BC02DD"/>
    <w:rsid w:val="00BC2CFB"/>
    <w:rsid w:val="00BD2C3F"/>
    <w:rsid w:val="00BD38FA"/>
    <w:rsid w:val="00BE3AA5"/>
    <w:rsid w:val="00BE3C97"/>
    <w:rsid w:val="00BF3854"/>
    <w:rsid w:val="00C02887"/>
    <w:rsid w:val="00C10845"/>
    <w:rsid w:val="00C151DB"/>
    <w:rsid w:val="00C22D20"/>
    <w:rsid w:val="00C32281"/>
    <w:rsid w:val="00C32428"/>
    <w:rsid w:val="00C32B1E"/>
    <w:rsid w:val="00C3791D"/>
    <w:rsid w:val="00C46FC3"/>
    <w:rsid w:val="00C51ACD"/>
    <w:rsid w:val="00C61170"/>
    <w:rsid w:val="00C6125B"/>
    <w:rsid w:val="00C6158E"/>
    <w:rsid w:val="00C84E21"/>
    <w:rsid w:val="00C90D44"/>
    <w:rsid w:val="00C93292"/>
    <w:rsid w:val="00CA15E8"/>
    <w:rsid w:val="00CA1E3E"/>
    <w:rsid w:val="00CA47AE"/>
    <w:rsid w:val="00CD4E22"/>
    <w:rsid w:val="00CE7327"/>
    <w:rsid w:val="00CF7BCE"/>
    <w:rsid w:val="00D01B54"/>
    <w:rsid w:val="00D0501F"/>
    <w:rsid w:val="00D06FED"/>
    <w:rsid w:val="00D15093"/>
    <w:rsid w:val="00D17EAE"/>
    <w:rsid w:val="00D30744"/>
    <w:rsid w:val="00D34098"/>
    <w:rsid w:val="00D43C2B"/>
    <w:rsid w:val="00D44934"/>
    <w:rsid w:val="00D478F3"/>
    <w:rsid w:val="00D52651"/>
    <w:rsid w:val="00D657C7"/>
    <w:rsid w:val="00D727A5"/>
    <w:rsid w:val="00D75881"/>
    <w:rsid w:val="00D77331"/>
    <w:rsid w:val="00D87FBC"/>
    <w:rsid w:val="00D96AA0"/>
    <w:rsid w:val="00DA42B0"/>
    <w:rsid w:val="00DB2857"/>
    <w:rsid w:val="00DB6862"/>
    <w:rsid w:val="00DB7962"/>
    <w:rsid w:val="00DB7FCA"/>
    <w:rsid w:val="00DC359F"/>
    <w:rsid w:val="00DC5859"/>
    <w:rsid w:val="00DD3119"/>
    <w:rsid w:val="00DE57B3"/>
    <w:rsid w:val="00DF11E3"/>
    <w:rsid w:val="00E05DE4"/>
    <w:rsid w:val="00E06BC3"/>
    <w:rsid w:val="00E121F5"/>
    <w:rsid w:val="00E17FCD"/>
    <w:rsid w:val="00E3785F"/>
    <w:rsid w:val="00E540F6"/>
    <w:rsid w:val="00E57201"/>
    <w:rsid w:val="00E62486"/>
    <w:rsid w:val="00E63AE7"/>
    <w:rsid w:val="00E717A5"/>
    <w:rsid w:val="00E73DF6"/>
    <w:rsid w:val="00E84B84"/>
    <w:rsid w:val="00E934AC"/>
    <w:rsid w:val="00EA349B"/>
    <w:rsid w:val="00EB0E06"/>
    <w:rsid w:val="00ED1F49"/>
    <w:rsid w:val="00EE1902"/>
    <w:rsid w:val="00EF3F4B"/>
    <w:rsid w:val="00EF6021"/>
    <w:rsid w:val="00EF7170"/>
    <w:rsid w:val="00F01173"/>
    <w:rsid w:val="00F027D3"/>
    <w:rsid w:val="00F0317A"/>
    <w:rsid w:val="00F0404E"/>
    <w:rsid w:val="00F0587B"/>
    <w:rsid w:val="00F12149"/>
    <w:rsid w:val="00F16059"/>
    <w:rsid w:val="00F22E7B"/>
    <w:rsid w:val="00F37C2B"/>
    <w:rsid w:val="00F37D94"/>
    <w:rsid w:val="00F41010"/>
    <w:rsid w:val="00F41707"/>
    <w:rsid w:val="00F42E6B"/>
    <w:rsid w:val="00F44AB1"/>
    <w:rsid w:val="00F53280"/>
    <w:rsid w:val="00F76908"/>
    <w:rsid w:val="00F76DB7"/>
    <w:rsid w:val="00F960FE"/>
    <w:rsid w:val="00FA0102"/>
    <w:rsid w:val="00FA40FF"/>
    <w:rsid w:val="00FB1E55"/>
    <w:rsid w:val="00FC7C61"/>
    <w:rsid w:val="00FE4914"/>
    <w:rsid w:val="00FE7968"/>
    <w:rsid w:val="00FF7247"/>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4F7E0846"/>
  <w15:chartTrackingRefBased/>
  <w15:docId w15:val="{9E8D20F4-B765-4E00-8295-5E36AA1383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GB"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Dot pt,F5 List Paragraph,List Paragraph1,No Spacing1,List Paragraph Char Char Char,Indicator Text,Colorful List - Accent 11,Numbered Para 1,Bullet 1,Bullet Points,List Paragraph2,MAIN CONTENT,Normal numbered,3,Issue Action POC,Bullet List"/>
    <w:basedOn w:val="Normal"/>
    <w:link w:val="ListParagraphChar"/>
    <w:uiPriority w:val="34"/>
    <w:qFormat/>
    <w:rsid w:val="0023576D"/>
    <w:pPr>
      <w:ind w:left="720"/>
      <w:contextualSpacing/>
    </w:pPr>
  </w:style>
  <w:style w:type="paragraph" w:styleId="Header">
    <w:name w:val="header"/>
    <w:basedOn w:val="Normal"/>
    <w:link w:val="HeaderChar"/>
    <w:uiPriority w:val="99"/>
    <w:unhideWhenUsed/>
    <w:rsid w:val="00D17EAE"/>
    <w:pPr>
      <w:tabs>
        <w:tab w:val="center" w:pos="4513"/>
        <w:tab w:val="right" w:pos="9026"/>
      </w:tabs>
      <w:spacing w:after="0" w:line="240" w:lineRule="auto"/>
    </w:pPr>
  </w:style>
  <w:style w:type="character" w:customStyle="1" w:styleId="HeaderChar">
    <w:name w:val="Header Char"/>
    <w:basedOn w:val="DefaultParagraphFont"/>
    <w:link w:val="Header"/>
    <w:uiPriority w:val="99"/>
    <w:rsid w:val="00D17EAE"/>
  </w:style>
  <w:style w:type="paragraph" w:styleId="Footer">
    <w:name w:val="footer"/>
    <w:basedOn w:val="Normal"/>
    <w:link w:val="FooterChar"/>
    <w:uiPriority w:val="99"/>
    <w:unhideWhenUsed/>
    <w:rsid w:val="00D17EAE"/>
    <w:pPr>
      <w:tabs>
        <w:tab w:val="center" w:pos="4513"/>
        <w:tab w:val="right" w:pos="9026"/>
      </w:tabs>
      <w:spacing w:after="0" w:line="240" w:lineRule="auto"/>
    </w:pPr>
  </w:style>
  <w:style w:type="character" w:customStyle="1" w:styleId="FooterChar">
    <w:name w:val="Footer Char"/>
    <w:basedOn w:val="DefaultParagraphFont"/>
    <w:link w:val="Footer"/>
    <w:uiPriority w:val="99"/>
    <w:rsid w:val="00D17EAE"/>
  </w:style>
  <w:style w:type="paragraph" w:styleId="BalloonText">
    <w:name w:val="Balloon Text"/>
    <w:basedOn w:val="Normal"/>
    <w:link w:val="BalloonTextChar"/>
    <w:uiPriority w:val="99"/>
    <w:semiHidden/>
    <w:unhideWhenUsed/>
    <w:rsid w:val="00596B2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96B24"/>
    <w:rPr>
      <w:rFonts w:ascii="Segoe UI" w:hAnsi="Segoe UI" w:cs="Segoe UI"/>
      <w:sz w:val="18"/>
      <w:szCs w:val="18"/>
    </w:rPr>
  </w:style>
  <w:style w:type="paragraph" w:customStyle="1" w:styleId="MGTHeader">
    <w:name w:val="M.G+T.Header"/>
    <w:basedOn w:val="Normal"/>
    <w:link w:val="MGTHeaderChar"/>
    <w:qFormat/>
    <w:rsid w:val="00663898"/>
    <w:pPr>
      <w:shd w:val="clear" w:color="auto" w:fill="F5F5F5"/>
      <w:spacing w:after="0" w:line="276" w:lineRule="auto"/>
      <w:outlineLvl w:val="4"/>
    </w:pPr>
    <w:rPr>
      <w:rFonts w:eastAsia="Times New Roman" w:cs="Times New Roman"/>
      <w:color w:val="333333"/>
      <w:sz w:val="21"/>
      <w:szCs w:val="21"/>
      <w:lang w:eastAsia="en-GB"/>
    </w:rPr>
  </w:style>
  <w:style w:type="character" w:customStyle="1" w:styleId="MGTHeaderChar">
    <w:name w:val="M.G+T.Header Char"/>
    <w:basedOn w:val="DefaultParagraphFont"/>
    <w:link w:val="MGTHeader"/>
    <w:rsid w:val="00663898"/>
    <w:rPr>
      <w:rFonts w:eastAsia="Times New Roman" w:cs="Times New Roman"/>
      <w:color w:val="333333"/>
      <w:sz w:val="21"/>
      <w:szCs w:val="21"/>
      <w:shd w:val="clear" w:color="auto" w:fill="F5F5F5"/>
      <w:lang w:eastAsia="en-GB"/>
    </w:rPr>
  </w:style>
  <w:style w:type="paragraph" w:customStyle="1" w:styleId="MHeader">
    <w:name w:val="M.Header"/>
    <w:basedOn w:val="Normal"/>
    <w:link w:val="MHeaderChar"/>
    <w:qFormat/>
    <w:rsid w:val="00B26A55"/>
    <w:pPr>
      <w:pBdr>
        <w:bottom w:val="single" w:sz="12" w:space="4" w:color="DDDDDD"/>
      </w:pBdr>
      <w:shd w:val="clear" w:color="auto" w:fill="FFFFFF"/>
      <w:spacing w:after="0" w:line="276" w:lineRule="auto"/>
      <w:outlineLvl w:val="2"/>
    </w:pPr>
    <w:rPr>
      <w:rFonts w:eastAsia="Times New Roman" w:cs="Times New Roman"/>
      <w:color w:val="1C75BC"/>
      <w:sz w:val="36"/>
      <w:szCs w:val="36"/>
      <w:lang w:eastAsia="en-GB"/>
    </w:rPr>
  </w:style>
  <w:style w:type="paragraph" w:customStyle="1" w:styleId="MText">
    <w:name w:val="M.Text"/>
    <w:basedOn w:val="Normal"/>
    <w:link w:val="MTextChar"/>
    <w:qFormat/>
    <w:rsid w:val="00B26A55"/>
    <w:pPr>
      <w:shd w:val="clear" w:color="auto" w:fill="FFFFFF"/>
      <w:spacing w:after="0" w:line="276" w:lineRule="auto"/>
    </w:pPr>
    <w:rPr>
      <w:rFonts w:eastAsia="Times New Roman" w:cs="Times New Roman"/>
      <w:color w:val="4A4A4A"/>
      <w:sz w:val="21"/>
      <w:szCs w:val="21"/>
      <w:lang w:eastAsia="en-GB"/>
    </w:rPr>
  </w:style>
  <w:style w:type="character" w:customStyle="1" w:styleId="MHeaderChar">
    <w:name w:val="M.Header Char"/>
    <w:basedOn w:val="DefaultParagraphFont"/>
    <w:link w:val="MHeader"/>
    <w:rsid w:val="00B26A55"/>
    <w:rPr>
      <w:rFonts w:eastAsia="Times New Roman" w:cs="Times New Roman"/>
      <w:color w:val="1C75BC"/>
      <w:sz w:val="36"/>
      <w:szCs w:val="36"/>
      <w:shd w:val="clear" w:color="auto" w:fill="FFFFFF"/>
      <w:lang w:eastAsia="en-GB"/>
    </w:rPr>
  </w:style>
  <w:style w:type="paragraph" w:customStyle="1" w:styleId="MSubHeader">
    <w:name w:val="M.Sub.Header"/>
    <w:basedOn w:val="Normal"/>
    <w:link w:val="MSubHeaderChar"/>
    <w:qFormat/>
    <w:rsid w:val="00B26A55"/>
    <w:pPr>
      <w:shd w:val="clear" w:color="auto" w:fill="FFFFFF"/>
      <w:spacing w:after="0" w:line="276" w:lineRule="auto"/>
    </w:pPr>
    <w:rPr>
      <w:rFonts w:eastAsia="Times New Roman" w:cs="Times New Roman"/>
      <w:b/>
      <w:bCs/>
      <w:color w:val="4A4A4A"/>
      <w:sz w:val="21"/>
      <w:szCs w:val="21"/>
      <w:lang w:eastAsia="en-GB"/>
    </w:rPr>
  </w:style>
  <w:style w:type="character" w:customStyle="1" w:styleId="MTextChar">
    <w:name w:val="M.Text Char"/>
    <w:basedOn w:val="DefaultParagraphFont"/>
    <w:link w:val="MText"/>
    <w:rsid w:val="00B26A55"/>
    <w:rPr>
      <w:rFonts w:eastAsia="Times New Roman" w:cs="Times New Roman"/>
      <w:color w:val="4A4A4A"/>
      <w:sz w:val="21"/>
      <w:szCs w:val="21"/>
      <w:shd w:val="clear" w:color="auto" w:fill="FFFFFF"/>
      <w:lang w:eastAsia="en-GB"/>
    </w:rPr>
  </w:style>
  <w:style w:type="character" w:customStyle="1" w:styleId="MSubHeaderChar">
    <w:name w:val="M.Sub.Header Char"/>
    <w:basedOn w:val="DefaultParagraphFont"/>
    <w:link w:val="MSubHeader"/>
    <w:rsid w:val="00B26A55"/>
    <w:rPr>
      <w:rFonts w:eastAsia="Times New Roman" w:cs="Times New Roman"/>
      <w:b/>
      <w:bCs/>
      <w:color w:val="4A4A4A"/>
      <w:sz w:val="21"/>
      <w:szCs w:val="21"/>
      <w:shd w:val="clear" w:color="auto" w:fill="FFFFFF"/>
      <w:lang w:eastAsia="en-GB"/>
    </w:rPr>
  </w:style>
  <w:style w:type="character" w:styleId="Hyperlink">
    <w:name w:val="Hyperlink"/>
    <w:basedOn w:val="DefaultParagraphFont"/>
    <w:uiPriority w:val="99"/>
    <w:unhideWhenUsed/>
    <w:rsid w:val="00D44934"/>
    <w:rPr>
      <w:color w:val="0563C1" w:themeColor="hyperlink"/>
      <w:u w:val="single"/>
    </w:rPr>
  </w:style>
  <w:style w:type="paragraph" w:styleId="FootnoteText">
    <w:name w:val="footnote text"/>
    <w:aliases w:val="5_G"/>
    <w:basedOn w:val="Normal"/>
    <w:link w:val="FootnoteTextChar"/>
    <w:uiPriority w:val="99"/>
    <w:unhideWhenUsed/>
    <w:rsid w:val="00B97742"/>
    <w:pPr>
      <w:spacing w:after="0" w:line="240" w:lineRule="auto"/>
    </w:pPr>
    <w:rPr>
      <w:rFonts w:ascii="Calibri" w:eastAsia="Calibri" w:hAnsi="Calibri" w:cs="Calibri"/>
      <w:sz w:val="20"/>
      <w:szCs w:val="20"/>
      <w:lang w:val="en-US" w:eastAsia="en-US"/>
    </w:rPr>
  </w:style>
  <w:style w:type="character" w:customStyle="1" w:styleId="FootnoteTextChar">
    <w:name w:val="Footnote Text Char"/>
    <w:aliases w:val="5_G Char"/>
    <w:basedOn w:val="DefaultParagraphFont"/>
    <w:link w:val="FootnoteText"/>
    <w:uiPriority w:val="99"/>
    <w:rsid w:val="00B97742"/>
    <w:rPr>
      <w:rFonts w:ascii="Calibri" w:eastAsia="Calibri" w:hAnsi="Calibri" w:cs="Calibri"/>
      <w:sz w:val="20"/>
      <w:szCs w:val="20"/>
      <w:lang w:val="en-US" w:eastAsia="en-US"/>
    </w:rPr>
  </w:style>
  <w:style w:type="character" w:styleId="FootnoteReference">
    <w:name w:val="footnote reference"/>
    <w:aliases w:val="4_G"/>
    <w:basedOn w:val="DefaultParagraphFont"/>
    <w:uiPriority w:val="99"/>
    <w:unhideWhenUsed/>
    <w:rsid w:val="00B97742"/>
    <w:rPr>
      <w:vertAlign w:val="superscript"/>
    </w:rPr>
  </w:style>
  <w:style w:type="paragraph" w:customStyle="1" w:styleId="Default">
    <w:name w:val="Default"/>
    <w:rsid w:val="00A668FE"/>
    <w:pPr>
      <w:autoSpaceDE w:val="0"/>
      <w:autoSpaceDN w:val="0"/>
      <w:adjustRightInd w:val="0"/>
      <w:spacing w:after="0" w:line="240" w:lineRule="auto"/>
    </w:pPr>
    <w:rPr>
      <w:rFonts w:ascii="Times New Roman" w:eastAsiaTheme="minorHAnsi" w:hAnsi="Times New Roman" w:cs="Times New Roman"/>
      <w:color w:val="000000"/>
      <w:sz w:val="24"/>
      <w:szCs w:val="24"/>
      <w:lang w:eastAsia="en-US"/>
    </w:rPr>
  </w:style>
  <w:style w:type="paragraph" w:styleId="BodyText2">
    <w:name w:val="Body Text 2"/>
    <w:basedOn w:val="Normal"/>
    <w:link w:val="BodyText2Char"/>
    <w:rsid w:val="00EF3F4B"/>
    <w:pPr>
      <w:spacing w:after="0" w:line="240" w:lineRule="auto"/>
    </w:pPr>
    <w:rPr>
      <w:rFonts w:ascii="Times New Roman" w:eastAsia="Times New Roman" w:hAnsi="Times New Roman" w:cs="Times New Roman"/>
      <w:b/>
      <w:bCs/>
      <w:sz w:val="24"/>
      <w:szCs w:val="24"/>
      <w:lang w:eastAsia="en-US"/>
    </w:rPr>
  </w:style>
  <w:style w:type="character" w:customStyle="1" w:styleId="BodyText2Char">
    <w:name w:val="Body Text 2 Char"/>
    <w:basedOn w:val="DefaultParagraphFont"/>
    <w:link w:val="BodyText2"/>
    <w:rsid w:val="00EF3F4B"/>
    <w:rPr>
      <w:rFonts w:ascii="Times New Roman" w:eastAsia="Times New Roman" w:hAnsi="Times New Roman" w:cs="Times New Roman"/>
      <w:b/>
      <w:bCs/>
      <w:sz w:val="24"/>
      <w:szCs w:val="24"/>
      <w:lang w:eastAsia="en-US"/>
    </w:rPr>
  </w:style>
  <w:style w:type="table" w:styleId="TableGrid">
    <w:name w:val="Table Grid"/>
    <w:basedOn w:val="TableNormal"/>
    <w:uiPriority w:val="59"/>
    <w:rsid w:val="00EF3F4B"/>
    <w:pPr>
      <w:spacing w:after="0" w:line="240" w:lineRule="auto"/>
    </w:pPr>
    <w:rPr>
      <w:rFonts w:ascii="Calibri" w:eastAsia="SimSun" w:hAnsi="Calibri" w:cs="Times New Roman"/>
      <w:sz w:val="20"/>
      <w:szCs w:val="20"/>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
    <w:name w:val="List Paragraph Char"/>
    <w:aliases w:val="Dot pt Char,F5 List Paragraph Char,List Paragraph1 Char,No Spacing1 Char,List Paragraph Char Char Char Char,Indicator Text Char,Colorful List - Accent 11 Char,Numbered Para 1 Char,Bullet 1 Char,Bullet Points Char,List Paragraph2 Char"/>
    <w:basedOn w:val="DefaultParagraphFont"/>
    <w:link w:val="ListParagraph"/>
    <w:uiPriority w:val="34"/>
    <w:locked/>
    <w:rsid w:val="00BA5920"/>
  </w:style>
  <w:style w:type="character" w:customStyle="1" w:styleId="UnresolvedMention1">
    <w:name w:val="Unresolved Mention1"/>
    <w:basedOn w:val="DefaultParagraphFont"/>
    <w:uiPriority w:val="99"/>
    <w:semiHidden/>
    <w:unhideWhenUsed/>
    <w:rsid w:val="00BE3AA5"/>
    <w:rPr>
      <w:color w:val="605E5C"/>
      <w:shd w:val="clear" w:color="auto" w:fill="E1DFDD"/>
    </w:rPr>
  </w:style>
  <w:style w:type="character" w:styleId="CommentReference">
    <w:name w:val="annotation reference"/>
    <w:basedOn w:val="DefaultParagraphFont"/>
    <w:uiPriority w:val="99"/>
    <w:semiHidden/>
    <w:unhideWhenUsed/>
    <w:rsid w:val="00881E7B"/>
    <w:rPr>
      <w:sz w:val="16"/>
      <w:szCs w:val="16"/>
    </w:rPr>
  </w:style>
  <w:style w:type="paragraph" w:styleId="CommentText">
    <w:name w:val="annotation text"/>
    <w:basedOn w:val="Normal"/>
    <w:link w:val="CommentTextChar"/>
    <w:uiPriority w:val="99"/>
    <w:semiHidden/>
    <w:unhideWhenUsed/>
    <w:rsid w:val="00881E7B"/>
    <w:pPr>
      <w:spacing w:line="240" w:lineRule="auto"/>
    </w:pPr>
    <w:rPr>
      <w:sz w:val="20"/>
      <w:szCs w:val="20"/>
    </w:rPr>
  </w:style>
  <w:style w:type="character" w:customStyle="1" w:styleId="CommentTextChar">
    <w:name w:val="Comment Text Char"/>
    <w:basedOn w:val="DefaultParagraphFont"/>
    <w:link w:val="CommentText"/>
    <w:uiPriority w:val="99"/>
    <w:semiHidden/>
    <w:rsid w:val="00881E7B"/>
    <w:rPr>
      <w:sz w:val="20"/>
      <w:szCs w:val="20"/>
    </w:rPr>
  </w:style>
  <w:style w:type="paragraph" w:styleId="CommentSubject">
    <w:name w:val="annotation subject"/>
    <w:basedOn w:val="CommentText"/>
    <w:next w:val="CommentText"/>
    <w:link w:val="CommentSubjectChar"/>
    <w:uiPriority w:val="99"/>
    <w:semiHidden/>
    <w:unhideWhenUsed/>
    <w:rsid w:val="00881E7B"/>
    <w:rPr>
      <w:b/>
      <w:bCs/>
    </w:rPr>
  </w:style>
  <w:style w:type="character" w:customStyle="1" w:styleId="CommentSubjectChar">
    <w:name w:val="Comment Subject Char"/>
    <w:basedOn w:val="CommentTextChar"/>
    <w:link w:val="CommentSubject"/>
    <w:uiPriority w:val="99"/>
    <w:semiHidden/>
    <w:rsid w:val="00881E7B"/>
    <w:rPr>
      <w:b/>
      <w:bCs/>
      <w:sz w:val="20"/>
      <w:szCs w:val="20"/>
    </w:rPr>
  </w:style>
  <w:style w:type="character" w:styleId="FollowedHyperlink">
    <w:name w:val="FollowedHyperlink"/>
    <w:basedOn w:val="DefaultParagraphFont"/>
    <w:uiPriority w:val="99"/>
    <w:semiHidden/>
    <w:unhideWhenUsed/>
    <w:rsid w:val="005D54B8"/>
    <w:rPr>
      <w:color w:val="954F72" w:themeColor="followedHyperlink"/>
      <w:u w:val="single"/>
    </w:rPr>
  </w:style>
  <w:style w:type="paragraph" w:customStyle="1" w:styleId="Body">
    <w:name w:val="Body"/>
    <w:rsid w:val="005847AB"/>
    <w:pPr>
      <w:pBdr>
        <w:top w:val="nil"/>
        <w:left w:val="nil"/>
        <w:bottom w:val="nil"/>
        <w:right w:val="nil"/>
        <w:between w:val="nil"/>
        <w:bar w:val="nil"/>
      </w:pBdr>
      <w:spacing w:after="200" w:line="276" w:lineRule="auto"/>
    </w:pPr>
    <w:rPr>
      <w:rFonts w:ascii="Calibri" w:eastAsia="Calibri" w:hAnsi="Calibri" w:cs="Calibri"/>
      <w:color w:val="000000"/>
      <w:u w:color="000000"/>
      <w:bdr w:val="nil"/>
      <w:lang w:val="en-US" w:eastAsia="en-US"/>
    </w:rPr>
  </w:style>
  <w:style w:type="character" w:customStyle="1" w:styleId="st">
    <w:name w:val="st"/>
    <w:basedOn w:val="DefaultParagraphFont"/>
    <w:rsid w:val="00CF7BC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72694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enrico.bisogno@un.org" TargetMode="External"/><Relationship Id="rId13" Type="http://schemas.openxmlformats.org/officeDocument/2006/relationships/hyperlink" Target="https://www.oecd.org/governance/legal-needs-surveys-and-access-to-justice-g2g9a36c-en.ht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unodc.org/unodc/en/data-and-analysis/index.html?ref=menuside"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Tatyana.TEPLOVA@oecd.org"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sdg16indicators@undp.org" TargetMode="External"/><Relationship Id="rId4" Type="http://schemas.openxmlformats.org/officeDocument/2006/relationships/settings" Target="settings.xml"/><Relationship Id="rId9" Type="http://schemas.openxmlformats.org/officeDocument/2006/relationships/hyperlink" Target="mailto:alexandra.wilde@undp.org" TargetMode="Externa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2" Type="http://schemas.openxmlformats.org/officeDocument/2006/relationships/hyperlink" Target="https://www.oecd.org/governance/legal-needs-surveys-and-access-to-justice-g2g9a36c-en.htm" TargetMode="External"/><Relationship Id="rId1" Type="http://schemas.openxmlformats.org/officeDocument/2006/relationships/hyperlink" Target="https://www.oecd.org/governance/legal-needs-surveys-and-access-to-justice-g2g9a36c-en.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0A320F-C7CE-497C-A370-13895D6CFA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8</Pages>
  <Words>2782</Words>
  <Characters>15863</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18608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Hernan Ariel Epstein</dc:creator>
  <cp:keywords/>
  <dc:description/>
  <cp:lastModifiedBy>Enrico Bisogno</cp:lastModifiedBy>
  <cp:revision>5</cp:revision>
  <cp:lastPrinted>2019-09-10T17:21:00Z</cp:lastPrinted>
  <dcterms:created xsi:type="dcterms:W3CDTF">2019-09-10T17:37:00Z</dcterms:created>
  <dcterms:modified xsi:type="dcterms:W3CDTF">2019-09-10T18:17:00Z</dcterms:modified>
</cp:coreProperties>
</file>